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采购编号</w:t>
      </w:r>
      <w:r>
        <w:rPr>
          <w:rFonts w:ascii="Times New Roman" w:hAnsi="Times New Roman" w:eastAsia="黑体" w:cs="Times New Roman"/>
          <w:color w:val="000000" w:themeColor="text1"/>
          <w:sz w:val="30"/>
          <w14:textFill>
            <w14:solidFill>
              <w14:schemeClr w14:val="tx1"/>
            </w14:solidFill>
          </w14:textFill>
        </w:rPr>
        <w:t>：</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[2024]0</w:t>
      </w:r>
      <w:r>
        <w:rPr>
          <w:rFonts w:hint="eastAsia" w:ascii="宋体"/>
          <w:b/>
          <w:color w:val="000000" w:themeColor="text1"/>
          <w:sz w:val="30"/>
          <w:szCs w:val="30"/>
          <w:lang w:val="en-US" w:eastAsia="zh-CN"/>
          <w14:textFill>
            <w14:solidFill>
              <w14:schemeClr w14:val="tx1"/>
            </w14:solidFill>
          </w14:textFill>
        </w:rPr>
        <w:t>5</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hint="eastAsia" w:ascii="Times New Roman" w:hAnsi="Times New Roman" w:eastAsia="黑体" w:cs="Times New Roman"/>
          <w:sz w:val="48"/>
          <w:szCs w:val="48"/>
          <w:u w:val="none"/>
        </w:rPr>
      </w:pPr>
      <w:bookmarkStart w:id="0" w:name="PO_项目名称_1"/>
      <w:r>
        <w:rPr>
          <w:rFonts w:hint="eastAsia" w:ascii="Times New Roman" w:hAnsi="Times New Roman" w:eastAsia="黑体" w:cs="Times New Roman"/>
          <w:sz w:val="48"/>
          <w:szCs w:val="48"/>
          <w:u w:val="none"/>
        </w:rPr>
        <w:t>九寨沟景区（广州）文旅推介会会务</w:t>
      </w:r>
    </w:p>
    <w:p>
      <w:pPr>
        <w:jc w:val="center"/>
        <w:rPr>
          <w:rFonts w:ascii="方正黑体_GBK" w:eastAsia="方正黑体_GBK" w:cs="方正黑体_GBK"/>
          <w:b/>
          <w:sz w:val="52"/>
          <w:szCs w:val="52"/>
          <w:u w:val="none"/>
        </w:rPr>
      </w:pPr>
      <w:r>
        <w:rPr>
          <w:rFonts w:hint="eastAsia" w:ascii="Times New Roman" w:hAnsi="Times New Roman" w:eastAsia="黑体" w:cs="Times New Roman"/>
          <w:sz w:val="48"/>
          <w:szCs w:val="48"/>
          <w:u w:val="none"/>
        </w:rPr>
        <w:t>　　服务采购项目</w:t>
      </w:r>
      <w:bookmarkEnd w:id="0"/>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1" w:name="PO_采购人_1"/>
      <w:r>
        <w:rPr>
          <w:rFonts w:hint="eastAsia" w:ascii="仿宋" w:eastAsia="仿宋"/>
          <w:b/>
          <w:sz w:val="32"/>
          <w:szCs w:val="32"/>
        </w:rPr>
        <w:t>九寨沟风景名胜区管理局</w:t>
      </w:r>
      <w:bookmarkEnd w:id="1"/>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rPr>
        <w:t>4年5月</w:t>
      </w:r>
    </w:p>
    <w:p>
      <w:pPr>
        <w:spacing w:line="360" w:lineRule="auto"/>
        <w:jc w:val="center"/>
        <w:rPr>
          <w:rFonts w:ascii="仿宋" w:eastAsia="仿宋"/>
          <w:b/>
          <w:bCs/>
          <w:sz w:val="32"/>
          <w:szCs w:val="32"/>
        </w:rPr>
      </w:pPr>
    </w:p>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p>
    <w:p>
      <w:pPr>
        <w:jc w:val="center"/>
        <w:rPr>
          <w:rFonts w:ascii="Times New Roman" w:hAnsi="Times New Roman" w:cs="Times New Roman"/>
          <w:sz w:val="44"/>
          <w:szCs w:val="48"/>
        </w:rPr>
      </w:pPr>
      <w:bookmarkStart w:id="122" w:name="_GoBack"/>
      <w:bookmarkEnd w:id="122"/>
    </w:p>
    <w:p>
      <w:pPr>
        <w:jc w:val="center"/>
        <w:rPr>
          <w:rFonts w:ascii="Times New Roman" w:hAnsi="Times New Roman" w:cs="Times New Roman"/>
          <w:sz w:val="44"/>
          <w:szCs w:val="48"/>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4"/>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_Toc112053978 \h </w:instrText>
      </w:r>
      <w:r>
        <w:rPr>
          <w:rFonts w:hint="eastAsia" w:ascii="仿宋" w:eastAsia="仿宋" w:cs="Times New Roman"/>
          <w:sz w:val="24"/>
          <w:szCs w:val="28"/>
        </w:rPr>
        <w:fldChar w:fldCharType="separate"/>
      </w:r>
      <w:r>
        <w:rPr>
          <w:rFonts w:hint="eastAsia" w:ascii="仿宋" w:eastAsia="仿宋" w:cs="Times New Roman"/>
          <w:sz w:val="24"/>
          <w:szCs w:val="28"/>
        </w:rPr>
        <w:t>14</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_Toc112053979 \h </w:instrText>
      </w:r>
      <w:r>
        <w:rPr>
          <w:rFonts w:hint="eastAsia" w:ascii="仿宋" w:eastAsia="仿宋" w:cs="Times New Roman"/>
          <w:sz w:val="24"/>
          <w:szCs w:val="28"/>
        </w:rPr>
        <w:fldChar w:fldCharType="separate"/>
      </w:r>
      <w:r>
        <w:rPr>
          <w:rFonts w:hint="eastAsia" w:ascii="仿宋" w:eastAsia="仿宋" w:cs="Times New Roman"/>
          <w:sz w:val="24"/>
          <w:szCs w:val="28"/>
        </w:rPr>
        <w:t>15</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sz w:val="24"/>
          <w:szCs w:val="28"/>
        </w:rPr>
        <w:fldChar w:fldCharType="begin"/>
      </w:r>
      <w:r>
        <w:rPr>
          <w:rFonts w:hint="eastAsia" w:ascii="仿宋" w:eastAsia="仿宋" w:cs="Times New Roman"/>
          <w:sz w:val="24"/>
          <w:szCs w:val="28"/>
        </w:rPr>
        <w:instrText xml:space="preserve"> PAGEREF _Toc112053980 \h </w:instrText>
      </w:r>
      <w:r>
        <w:rPr>
          <w:rFonts w:hint="eastAsia" w:ascii="仿宋" w:eastAsia="仿宋" w:cs="Times New Roman"/>
          <w:sz w:val="24"/>
          <w:szCs w:val="28"/>
        </w:rPr>
        <w:fldChar w:fldCharType="separate"/>
      </w:r>
      <w:r>
        <w:rPr>
          <w:rFonts w:hint="eastAsia" w:ascii="仿宋" w:eastAsia="仿宋" w:cs="Times New Roman"/>
          <w:sz w:val="24"/>
          <w:szCs w:val="28"/>
        </w:rPr>
        <w:t>17</w:t>
      </w:r>
      <w:r>
        <w:rPr>
          <w:rFonts w:hint="eastAsia" w:ascii="仿宋" w:eastAsia="仿宋" w:cs="Times New Roman"/>
          <w:sz w:val="24"/>
          <w:szCs w:val="28"/>
        </w:rPr>
        <w:fldChar w:fldCharType="end"/>
      </w:r>
      <w:r>
        <w:rPr>
          <w:rFonts w:hint="eastAsia" w:ascii="仿宋" w:eastAsia="仿宋"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rPr>
        <w:t>2</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0</w:t>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22</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38</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4"/>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rPr>
        <w:t xml:space="preserve">  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23"/>
      </w:pPr>
      <w:r>
        <w:rPr>
          <w:rFonts w:ascii="Times New Roman" w:hAnsi="Times New Roman" w:eastAsia="仿宋" w:cs="Times New Roman"/>
          <w:sz w:val="32"/>
          <w:szCs w:val="36"/>
        </w:rPr>
        <w:fldChar w:fldCharType="end"/>
      </w:r>
    </w:p>
    <w:p>
      <w:pPr>
        <w:pStyle w:val="3"/>
        <w:spacing w:before="0" w:after="0" w:line="200" w:lineRule="exact"/>
        <w:rPr>
          <w:rFonts w:ascii="仿宋" w:eastAsia="仿宋"/>
        </w:rPr>
      </w:pPr>
    </w:p>
    <w:p>
      <w:pPr>
        <w:pStyle w:val="3"/>
        <w:spacing w:before="0" w:after="0" w:line="240" w:lineRule="auto"/>
        <w:rPr>
          <w:rFonts w:ascii="仿宋" w:eastAsia="仿宋"/>
        </w:rPr>
      </w:pPr>
    </w:p>
    <w:p>
      <w:pPr>
        <w:rPr>
          <w:rFonts w:ascii="仿宋" w:eastAsia="仿宋"/>
          <w:b/>
          <w:bCs/>
          <w:sz w:val="32"/>
          <w:szCs w:val="32"/>
        </w:rPr>
      </w:pPr>
    </w:p>
    <w:p>
      <w:pPr>
        <w:pStyle w:val="3"/>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ascii="Times New Roman" w:hAnsi="Times New Roman" w:eastAsia="仿宋" w:cs="Times New Roman"/>
          <w:sz w:val="36"/>
          <w:szCs w:val="36"/>
        </w:rPr>
      </w:pPr>
      <w:bookmarkStart w:id="2" w:name="_Toc112053976"/>
      <w:r>
        <w:rPr>
          <w:rFonts w:ascii="Times New Roman" w:hAnsi="Times New Roman" w:eastAsia="仿宋" w:cs="Times New Roman"/>
          <w:b/>
          <w:sz w:val="36"/>
          <w:szCs w:val="36"/>
        </w:rPr>
        <w:t>第一章  磋商邀请</w:t>
      </w:r>
      <w:bookmarkEnd w:id="2"/>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九寨沟景区（广州）文旅推介会会务服务采购项目</w:t>
      </w:r>
      <w:r>
        <w:rPr>
          <w:rFonts w:ascii="Times New Roman" w:hAnsi="Times New Roman" w:eastAsia="方正仿宋_GBK" w:cs="Times New Roman"/>
          <w:sz w:val="24"/>
        </w:rPr>
        <w:t>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3" w:name="PO_项目编号_2"/>
      <w:r>
        <w:rPr>
          <w:rFonts w:hint="eastAsia" w:ascii="仿宋" w:eastAsia="仿宋" w:cs="Times New Roman"/>
          <w:color w:val="FF0000"/>
          <w:sz w:val="24"/>
        </w:rPr>
        <w:t xml:space="preserve"> </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4]0</w:t>
      </w:r>
      <w:r>
        <w:rPr>
          <w:rFonts w:hint="eastAsia" w:ascii="仿宋" w:eastAsia="仿宋" w:cs="Times New Roman"/>
          <w:color w:val="000000" w:themeColor="text1"/>
          <w:sz w:val="24"/>
          <w:lang w:val="en-US" w:eastAsia="zh-CN"/>
          <w14:textFill>
            <w14:solidFill>
              <w14:schemeClr w14:val="tx1"/>
            </w14:solidFill>
          </w14:textFill>
        </w:rPr>
        <w:t>5</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r>
        <w:rPr>
          <w:rFonts w:ascii="仿宋" w:eastAsia="仿宋"/>
          <w:color w:val="FF0000"/>
          <w:sz w:val="24"/>
        </w:rPr>
        <w:t xml:space="preserve"> </w:t>
      </w:r>
      <w:bookmarkEnd w:id="3"/>
    </w:p>
    <w:p>
      <w:pPr>
        <w:spacing w:line="440" w:lineRule="exact"/>
        <w:ind w:firstLine="480" w:firstLineChars="200"/>
        <w:rPr>
          <w:rFonts w:ascii="仿宋" w:eastAsia="仿宋"/>
          <w:color w:val="FF0000"/>
          <w:sz w:val="24"/>
        </w:rPr>
      </w:pPr>
      <w:r>
        <w:rPr>
          <w:rFonts w:hint="eastAsia" w:ascii="仿宋" w:eastAsia="仿宋"/>
          <w:sz w:val="24"/>
        </w:rPr>
        <w:t>2.采购项目名称：</w:t>
      </w:r>
      <w:r>
        <w:rPr>
          <w:rFonts w:hint="eastAsia" w:ascii="仿宋" w:eastAsia="仿宋"/>
          <w:color w:val="000000" w:themeColor="text1"/>
          <w:sz w:val="24"/>
          <w:u w:val="single"/>
          <w14:textFill>
            <w14:solidFill>
              <w14:schemeClr w14:val="tx1"/>
            </w14:solidFill>
          </w14:textFill>
        </w:rPr>
        <w:t>九寨沟景区（广州）文旅推介会会务服务采购项目</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4"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4"/>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5" w:name="PO_默认文件内容_3"/>
      <w:r>
        <w:rPr>
          <w:rFonts w:hint="eastAsia" w:ascii="仿宋" w:eastAsia="仿宋"/>
          <w:bCs/>
          <w:sz w:val="24"/>
        </w:rPr>
        <w:t>本次竞争性磋商邀请在九寨沟官方网站（https://www.jiuzhai.com/）上</w:t>
      </w:r>
      <w:r>
        <w:rPr>
          <w:rFonts w:hint="eastAsia" w:ascii="仿宋" w:eastAsia="仿宋"/>
          <w:bCs/>
          <w:color w:val="000000" w:themeColor="text1"/>
          <w:sz w:val="24"/>
          <w14:textFill>
            <w14:solidFill>
              <w14:schemeClr w14:val="tx1"/>
            </w14:solidFill>
          </w14:textFill>
        </w:rPr>
        <w:t xml:space="preserve">以公告形式发布；   </w:t>
      </w:r>
    </w:p>
    <w:bookmarkEnd w:id="5"/>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6"/>
        <w:spacing w:line="420" w:lineRule="exact"/>
        <w:ind w:firstLine="600" w:firstLineChars="250"/>
        <w:rPr>
          <w:rFonts w:ascii="仿宋" w:eastAsia="仿宋"/>
          <w:color w:val="000000" w:themeColor="text1"/>
          <w:sz w:val="24"/>
          <w14:textFill>
            <w14:solidFill>
              <w14:schemeClr w14:val="tx1"/>
            </w14:solidFill>
          </w14:textFill>
        </w:rPr>
      </w:pPr>
      <w:bookmarkStart w:id="6"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6"/>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6"/>
        <w:spacing w:line="420" w:lineRule="exact"/>
        <w:ind w:firstLine="600" w:firstLineChars="250"/>
        <w:rPr>
          <w:rStyle w:val="22"/>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无。</w:t>
      </w:r>
    </w:p>
    <w:p>
      <w:pPr>
        <w:pStyle w:val="26"/>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6"/>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15</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4年5月</w:t>
      </w:r>
      <w:r>
        <w:rPr>
          <w:rFonts w:hint="eastAsia" w:ascii="宋体"/>
          <w:b/>
          <w:bCs/>
          <w:color w:val="000000" w:themeColor="text1"/>
          <w:sz w:val="24"/>
          <w:u w:val="single"/>
          <w:lang w:val="en-US" w:eastAsia="zh-CN"/>
          <w14:textFill>
            <w14:solidFill>
              <w14:schemeClr w14:val="tx1"/>
            </w14:solidFill>
          </w14:textFill>
        </w:rPr>
        <w:t>17</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9" w:name="PO_投标文件递交开始时间_1"/>
      <w:r>
        <w:rPr>
          <w:rFonts w:ascii="仿宋" w:eastAsia="仿宋"/>
          <w:b/>
          <w:bCs/>
          <w:color w:val="000000" w:themeColor="text1"/>
          <w:sz w:val="24"/>
          <w14:textFill>
            <w14:solidFill>
              <w14:schemeClr w14:val="tx1"/>
            </w14:solidFill>
          </w14:textFill>
        </w:rPr>
        <w:t xml:space="preserve"> </w:t>
      </w:r>
      <w:bookmarkEnd w:id="9"/>
      <w:bookmarkStart w:id="10"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b/>
          <w:bCs/>
          <w:color w:val="000000" w:themeColor="text1"/>
          <w:sz w:val="24"/>
          <w14:textFill>
            <w14:solidFill>
              <w14:schemeClr w14:val="tx1"/>
            </w14:solidFill>
          </w14:textFill>
        </w:rPr>
        <w:t xml:space="preserve"> </w:t>
      </w:r>
      <w:bookmarkEnd w:id="10"/>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5</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14:textFill>
            <w14:solidFill>
              <w14:schemeClr w14:val="tx1"/>
            </w14:solidFill>
          </w14:textFill>
        </w:rPr>
        <w:t>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旅游营销</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刘</w:t>
      </w:r>
      <w:r>
        <w:rPr>
          <w:rFonts w:hint="eastAsia"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9753</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5"/>
        <w:spacing w:before="0" w:beforeAutospacing="0" w:after="0" w:afterAutospacing="0" w:line="440" w:lineRule="exact"/>
        <w:ind w:firstLine="6000" w:firstLineChars="2500"/>
        <w:rPr>
          <w:sz w:val="24"/>
          <w:szCs w:val="24"/>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4年5月</w:t>
      </w:r>
      <w:r>
        <w:rPr>
          <w:rFonts w:hint="eastAsia"/>
          <w:color w:val="000000" w:themeColor="text1"/>
          <w:sz w:val="24"/>
          <w:szCs w:val="24"/>
          <w:lang w:val="en-US" w:eastAsia="zh-CN"/>
          <w14:textFill>
            <w14:solidFill>
              <w14:schemeClr w14:val="tx1"/>
            </w14:solidFill>
          </w14:textFill>
        </w:rPr>
        <w:t>1</w:t>
      </w:r>
      <w:r>
        <w:rPr>
          <w:rFonts w:hint="eastAsia"/>
          <w:sz w:val="24"/>
          <w:szCs w:val="24"/>
          <w:lang w:val="en-US" w:eastAsia="zh-CN"/>
        </w:rPr>
        <w:t>3</w:t>
      </w:r>
      <w:r>
        <w:rPr>
          <w:rFonts w:hint="eastAsia"/>
          <w:sz w:val="24"/>
          <w:szCs w:val="24"/>
        </w:rPr>
        <w:t>日</w:t>
      </w:r>
    </w:p>
    <w:p>
      <w:pPr>
        <w:pStyle w:val="3"/>
      </w:pPr>
      <w:bookmarkStart w:id="11" w:name="_Toc112053977"/>
    </w:p>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1"/>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8"/>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8"/>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采购预算</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2" w:name="PO_预算分包信息_1"/>
            <w:r>
              <w:rPr>
                <w:rFonts w:ascii="仿宋" w:eastAsia="仿宋"/>
                <w:szCs w:val="21"/>
              </w:rPr>
              <w:t>1包采购预算：</w:t>
            </w:r>
            <w:r>
              <w:rPr>
                <w:rFonts w:hint="eastAsia" w:ascii="宋体" w:eastAsia="仿宋"/>
                <w:b/>
                <w:bCs/>
                <w:sz w:val="24"/>
                <w:lang w:val="en-US" w:eastAsia="zh-CN"/>
              </w:rPr>
              <w:t>29</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最高限价</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3" w:name="PO_限价分包信息_1"/>
            <w:r>
              <w:rPr>
                <w:rFonts w:ascii="仿宋" w:eastAsia="仿宋"/>
                <w:szCs w:val="21"/>
              </w:rPr>
              <w:t>1包最高限价：</w:t>
            </w:r>
            <w:r>
              <w:rPr>
                <w:rFonts w:hint="eastAsia" w:ascii="宋体" w:eastAsia="仿宋"/>
                <w:b/>
                <w:bCs/>
                <w:sz w:val="24"/>
                <w:lang w:val="en-US" w:eastAsia="zh-CN"/>
              </w:rPr>
              <w:t>29</w:t>
            </w:r>
            <w:r>
              <w:rPr>
                <w:rFonts w:ascii="仿宋" w:eastAsia="仿宋"/>
                <w:szCs w:val="21"/>
              </w:rPr>
              <w:t xml:space="preserve">万元 </w:t>
            </w:r>
            <w:bookmarkEnd w:id="13"/>
          </w:p>
          <w:p>
            <w:pPr>
              <w:spacing w:line="340" w:lineRule="exact"/>
              <w:ind w:left="105" w:leftChars="50" w:right="105" w:rightChars="50"/>
              <w:rPr>
                <w:rFonts w:ascii="仿宋" w:eastAsia="仿宋"/>
                <w:szCs w:val="21"/>
              </w:rPr>
            </w:pPr>
            <w:bookmarkStart w:id="14"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8"/>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5"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6" w:name="PO_默认文件内容_16"/>
            <w:r>
              <w:rPr>
                <w:rFonts w:hint="eastAsia" w:ascii="仿宋" w:eastAsia="仿宋"/>
                <w:szCs w:val="21"/>
              </w:rPr>
              <w:t>供应商资格审查情况、、磋商结果等在九寨沟景区官方网站上</w:t>
            </w:r>
            <w:bookmarkEnd w:id="16"/>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8"/>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8"/>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8"/>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8"/>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8"/>
              <w:ind w:right="230"/>
              <w:jc w:val="both"/>
              <w:rPr>
                <w:rFonts w:ascii="仿宋" w:eastAsia="仿宋" w:cs="Courier New"/>
                <w:sz w:val="21"/>
                <w:szCs w:val="21"/>
                <w:lang w:val="zh-CN"/>
              </w:rPr>
            </w:pPr>
            <w:bookmarkStart w:id="17"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rPr>
              <w:t>李</w:t>
            </w:r>
            <w:r>
              <w:rPr>
                <w:rFonts w:hint="eastAsia" w:ascii="仿宋" w:eastAsia="仿宋"/>
                <w:sz w:val="21"/>
                <w:szCs w:val="21"/>
                <w:lang w:val="zh-CN"/>
              </w:rPr>
              <w:t>女士</w:t>
            </w:r>
          </w:p>
          <w:p>
            <w:pPr>
              <w:pStyle w:val="28"/>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8"/>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8"/>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8"/>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4"/>
        <w:keepNext w:val="0"/>
        <w:keepLines w:val="0"/>
        <w:spacing w:before="0" w:after="0" w:line="400" w:lineRule="exact"/>
        <w:ind w:firstLine="482" w:firstLineChars="200"/>
        <w:rPr>
          <w:rFonts w:ascii="仿宋" w:eastAsia="仿宋"/>
          <w:sz w:val="24"/>
        </w:rPr>
      </w:pPr>
      <w:bookmarkStart w:id="18"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8"/>
    </w:p>
    <w:p>
      <w:pPr>
        <w:pStyle w:val="4"/>
        <w:keepNext w:val="0"/>
        <w:keepLines w:val="0"/>
        <w:spacing w:before="0" w:after="0" w:line="400" w:lineRule="exact"/>
        <w:rPr>
          <w:rFonts w:ascii="仿宋" w:eastAsia="仿宋"/>
          <w:sz w:val="24"/>
        </w:rPr>
      </w:pPr>
      <w:bookmarkStart w:id="19" w:name="_Toc217446035"/>
      <w:bookmarkStart w:id="20" w:name="_Toc183682343"/>
      <w:bookmarkStart w:id="21" w:name="_Toc183582206"/>
    </w:p>
    <w:p>
      <w:pPr>
        <w:pStyle w:val="4"/>
        <w:keepNext w:val="0"/>
        <w:keepLines w:val="0"/>
        <w:spacing w:before="0" w:after="0" w:line="400" w:lineRule="exact"/>
        <w:ind w:firstLine="482" w:firstLineChars="200"/>
        <w:rPr>
          <w:rFonts w:ascii="仿宋" w:eastAsia="仿宋"/>
          <w:sz w:val="24"/>
        </w:rPr>
      </w:pPr>
      <w:r>
        <w:rPr>
          <w:rFonts w:ascii="仿宋" w:eastAsia="仿宋"/>
          <w:sz w:val="24"/>
        </w:rPr>
        <w:t>2.</w:t>
      </w:r>
      <w:bookmarkEnd w:id="19"/>
      <w:bookmarkEnd w:id="20"/>
      <w:bookmarkEnd w:id="21"/>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2" w:name="PO_采购人_4"/>
      <w:r>
        <w:rPr>
          <w:rFonts w:hint="eastAsia" w:ascii="仿宋" w:eastAsia="仿宋"/>
          <w:sz w:val="24"/>
          <w:u w:val="single"/>
        </w:rPr>
        <w:t>九寨沟风景名胜区管理局</w:t>
      </w:r>
      <w:bookmarkEnd w:id="22"/>
      <w:r>
        <w:rPr>
          <w:rFonts w:hint="eastAsia" w:ascii="仿宋" w:eastAsia="仿宋"/>
          <w:sz w:val="24"/>
          <w:u w:val="single"/>
          <w:lang w:eastAsia="zh-CN"/>
        </w:rPr>
        <w:t>旅游营销</w:t>
      </w:r>
      <w:r>
        <w:rPr>
          <w:rFonts w:ascii="Times New Roman" w:hAnsi="Times New Roman" w:eastAsia="方正仿宋_GBK" w:cs="Times New Roman"/>
          <w:sz w:val="24"/>
          <w:u w:val="single"/>
        </w:rPr>
        <w:t>处</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4"/>
        <w:keepNext w:val="0"/>
        <w:keepLines w:val="0"/>
        <w:spacing w:before="0" w:after="0" w:line="400" w:lineRule="exact"/>
        <w:ind w:firstLine="482"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rPr>
      </w:pPr>
      <w:bookmarkStart w:id="23" w:name="_Toc217446036"/>
      <w:bookmarkStart w:id="24" w:name="_Toc183582207"/>
      <w:bookmarkStart w:id="25" w:name="_Toc217390843"/>
      <w:bookmarkStart w:id="26" w:name="_Toc183682344"/>
      <w:r>
        <w:rPr>
          <w:rFonts w:ascii="仿宋" w:eastAsia="仿宋"/>
          <w:sz w:val="24"/>
        </w:rPr>
        <w:t>3.</w:t>
      </w:r>
      <w:r>
        <w:rPr>
          <w:rFonts w:hint="eastAsia" w:ascii="仿宋" w:eastAsia="仿宋"/>
          <w:sz w:val="24"/>
        </w:rPr>
        <w:t xml:space="preserve"> 合格</w:t>
      </w:r>
      <w:bookmarkEnd w:id="23"/>
      <w:bookmarkEnd w:id="24"/>
      <w:bookmarkEnd w:id="25"/>
      <w:bookmarkEnd w:id="26"/>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4"/>
        <w:keepNext w:val="0"/>
        <w:keepLines w:val="0"/>
        <w:spacing w:before="0" w:after="0" w:line="400" w:lineRule="exact"/>
        <w:ind w:firstLine="482" w:firstLineChars="200"/>
        <w:rPr>
          <w:rFonts w:ascii="仿宋" w:eastAsia="仿宋"/>
          <w:sz w:val="24"/>
        </w:rPr>
      </w:pPr>
      <w:bookmarkStart w:id="27" w:name="_Toc217446037"/>
      <w:bookmarkStart w:id="28" w:name="_Toc183682345"/>
      <w:bookmarkStart w:id="29" w:name="_Toc183582208"/>
      <w:r>
        <w:rPr>
          <w:rFonts w:hint="eastAsia" w:ascii="仿宋" w:eastAsia="仿宋"/>
          <w:sz w:val="24"/>
        </w:rPr>
        <w:t>4. 磋商费用</w:t>
      </w:r>
      <w:bookmarkEnd w:id="27"/>
      <w:bookmarkEnd w:id="28"/>
      <w:bookmarkEnd w:id="29"/>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9"/>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9"/>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9"/>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9"/>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9"/>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9"/>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9"/>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9"/>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9"/>
        <w:spacing w:line="400" w:lineRule="exact"/>
        <w:ind w:left="1" w:firstLine="482" w:firstLineChars="200"/>
        <w:rPr>
          <w:rFonts w:ascii="仿宋" w:eastAsia="仿宋"/>
          <w:b/>
          <w:sz w:val="24"/>
        </w:rPr>
      </w:pPr>
    </w:p>
    <w:p>
      <w:pPr>
        <w:pStyle w:val="29"/>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9"/>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9"/>
        <w:spacing w:line="400" w:lineRule="exact"/>
        <w:ind w:left="1" w:firstLine="480" w:firstLineChars="200"/>
        <w:rPr>
          <w:rFonts w:ascii="仿宋" w:eastAsia="仿宋"/>
          <w:sz w:val="24"/>
        </w:rPr>
      </w:pPr>
    </w:p>
    <w:p>
      <w:pPr>
        <w:pStyle w:val="29"/>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仿宋" w:eastAsia="仿宋"/>
          <w:sz w:val="24"/>
        </w:rPr>
      </w:pPr>
      <w:bookmarkStart w:id="30" w:name="_Toc183682348"/>
      <w:bookmarkStart w:id="31" w:name="_Toc183582211"/>
      <w:bookmarkStart w:id="32" w:name="_Toc217446040"/>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30"/>
      <w:bookmarkEnd w:id="31"/>
      <w:r>
        <w:rPr>
          <w:rFonts w:hint="eastAsia" w:ascii="仿宋" w:eastAsia="仿宋"/>
          <w:sz w:val="24"/>
        </w:rPr>
        <w:t>和修改</w:t>
      </w:r>
      <w:bookmarkEnd w:id="32"/>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eastAsia="仿宋"/>
          <w:sz w:val="24"/>
        </w:rPr>
      </w:pPr>
      <w:bookmarkStart w:id="33" w:name="_Toc217446041"/>
      <w:bookmarkStart w:id="34" w:name="_Toc208848971"/>
      <w:r>
        <w:rPr>
          <w:rFonts w:hint="eastAsia" w:ascii="仿宋" w:eastAsia="仿宋"/>
          <w:sz w:val="24"/>
        </w:rPr>
        <w:t>11. 答疑会和现场考察</w:t>
      </w:r>
      <w:bookmarkEnd w:id="33"/>
      <w:bookmarkEnd w:id="34"/>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3"/>
        <w:keepNext w:val="0"/>
        <w:keepLines w:val="0"/>
        <w:spacing w:before="0" w:after="0" w:line="400" w:lineRule="exact"/>
        <w:jc w:val="center"/>
        <w:rPr>
          <w:rFonts w:ascii="仿宋" w:eastAsia="仿宋"/>
          <w:bCs w:val="0"/>
        </w:rPr>
      </w:pPr>
      <w:bookmarkStart w:id="35" w:name="_Toc183582214"/>
      <w:bookmarkStart w:id="36" w:name="_Toc89075876"/>
      <w:bookmarkStart w:id="37" w:name="_Toc183682351"/>
      <w:bookmarkStart w:id="38" w:name="_Toc77400780"/>
      <w:bookmarkStart w:id="39" w:name="_Toc217446042"/>
    </w:p>
    <w:p>
      <w:pPr>
        <w:pStyle w:val="3"/>
        <w:keepNext w:val="0"/>
        <w:keepLines w:val="0"/>
        <w:spacing w:before="0" w:after="0" w:line="400" w:lineRule="exact"/>
        <w:jc w:val="center"/>
        <w:rPr>
          <w:rFonts w:ascii="仿宋" w:eastAsia="仿宋"/>
          <w:bCs w:val="0"/>
        </w:rPr>
      </w:pPr>
      <w:r>
        <w:rPr>
          <w:rFonts w:hint="eastAsia" w:ascii="仿宋" w:eastAsia="仿宋"/>
          <w:bCs w:val="0"/>
        </w:rPr>
        <w:t>四、响应文件</w:t>
      </w:r>
      <w:bookmarkEnd w:id="35"/>
      <w:bookmarkEnd w:id="36"/>
      <w:bookmarkEnd w:id="37"/>
      <w:bookmarkEnd w:id="38"/>
      <w:bookmarkEnd w:id="39"/>
    </w:p>
    <w:p>
      <w:pPr>
        <w:pStyle w:val="4"/>
        <w:keepNext w:val="0"/>
        <w:keepLines w:val="0"/>
        <w:spacing w:before="0" w:after="0" w:line="400" w:lineRule="exact"/>
        <w:ind w:firstLine="482" w:firstLineChars="200"/>
        <w:rPr>
          <w:rFonts w:ascii="仿宋" w:eastAsia="仿宋"/>
          <w:bCs w:val="0"/>
          <w:sz w:val="24"/>
        </w:rPr>
      </w:pPr>
      <w:bookmarkStart w:id="40" w:name="_Toc183582215"/>
      <w:bookmarkStart w:id="41" w:name="_Toc217446043"/>
      <w:bookmarkStart w:id="42" w:name="_Toc183682352"/>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4"/>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40"/>
      <w:bookmarkEnd w:id="41"/>
      <w:bookmarkEnd w:id="42"/>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4"/>
        <w:keepNext w:val="0"/>
        <w:keepLines w:val="0"/>
        <w:spacing w:before="0" w:after="0" w:line="400" w:lineRule="exact"/>
        <w:ind w:firstLine="482" w:firstLineChars="200"/>
        <w:rPr>
          <w:rFonts w:ascii="仿宋" w:eastAsia="仿宋"/>
          <w:sz w:val="24"/>
        </w:rPr>
      </w:pPr>
      <w:bookmarkStart w:id="43" w:name="_Toc183582216"/>
      <w:bookmarkStart w:id="44" w:name="_Toc183682353"/>
      <w:bookmarkStart w:id="45" w:name="_Toc217446044"/>
      <w:r>
        <w:rPr>
          <w:rFonts w:hint="eastAsia" w:ascii="仿宋" w:eastAsia="仿宋"/>
          <w:sz w:val="24"/>
        </w:rPr>
        <w:t>14．计量单位</w:t>
      </w:r>
      <w:bookmarkEnd w:id="43"/>
      <w:bookmarkEnd w:id="44"/>
      <w:bookmarkEnd w:id="45"/>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6" w:name="_Toc217446051"/>
      <w:bookmarkStart w:id="47" w:name="_Toc183682361"/>
      <w:bookmarkStart w:id="48" w:name="_Toc183582224"/>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9" w:name="_Toc183682365"/>
      <w:bookmarkStart w:id="50" w:name="_Toc183582228"/>
      <w:bookmarkStart w:id="51" w:name="_Toc21744605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5"/>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9"/>
      <w:bookmarkEnd w:id="50"/>
      <w:bookmarkEnd w:id="51"/>
    </w:p>
    <w:p>
      <w:pPr>
        <w:pStyle w:val="3"/>
        <w:keepNext w:val="0"/>
        <w:keepLines w:val="0"/>
        <w:spacing w:line="400" w:lineRule="exact"/>
        <w:jc w:val="center"/>
        <w:rPr>
          <w:rFonts w:ascii="仿宋" w:eastAsia="仿宋"/>
        </w:rPr>
      </w:pPr>
      <w:r>
        <w:rPr>
          <w:rFonts w:hint="eastAsia" w:ascii="仿宋" w:eastAsia="仿宋"/>
        </w:rPr>
        <w:t>五、评审</w:t>
      </w:r>
    </w:p>
    <w:p>
      <w:pPr>
        <w:pStyle w:val="3"/>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3"/>
        <w:keepNext w:val="0"/>
        <w:keepLines w:val="0"/>
        <w:spacing w:line="400" w:lineRule="exact"/>
        <w:jc w:val="center"/>
        <w:rPr>
          <w:rFonts w:ascii="仿宋" w:eastAsia="仿宋"/>
          <w:b w:val="0"/>
          <w:sz w:val="24"/>
          <w:szCs w:val="24"/>
        </w:rPr>
      </w:pPr>
    </w:p>
    <w:p>
      <w:pPr>
        <w:pStyle w:val="3"/>
        <w:keepNext w:val="0"/>
        <w:keepLines w:val="0"/>
        <w:spacing w:line="400" w:lineRule="exact"/>
        <w:jc w:val="center"/>
        <w:rPr>
          <w:rFonts w:ascii="仿宋" w:eastAsia="仿宋"/>
        </w:rPr>
      </w:pPr>
      <w:r>
        <w:rPr>
          <w:rFonts w:hint="eastAsia" w:ascii="仿宋" w:eastAsia="仿宋"/>
        </w:rPr>
        <w:t>六、成交事项</w:t>
      </w:r>
    </w:p>
    <w:p>
      <w:pPr>
        <w:pStyle w:val="3"/>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3"/>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3"/>
        <w:keepNext w:val="0"/>
        <w:keepLines w:val="0"/>
        <w:spacing w:line="400" w:lineRule="exact"/>
        <w:jc w:val="center"/>
        <w:rPr>
          <w:rFonts w:ascii="仿宋" w:eastAsia="仿宋"/>
        </w:rPr>
      </w:pPr>
      <w:r>
        <w:rPr>
          <w:rFonts w:hint="eastAsia" w:ascii="仿宋" w:eastAsia="仿宋"/>
        </w:rPr>
        <w:t>七、合同事项</w:t>
      </w:r>
    </w:p>
    <w:p>
      <w:pPr>
        <w:pStyle w:val="3"/>
        <w:keepNext w:val="0"/>
        <w:keepLines w:val="0"/>
        <w:spacing w:before="0" w:after="0" w:line="400" w:lineRule="exact"/>
        <w:ind w:firstLine="472" w:firstLineChars="196"/>
        <w:rPr>
          <w:rFonts w:ascii="仿宋" w:eastAsia="仿宋"/>
          <w:sz w:val="24"/>
          <w:szCs w:val="24"/>
        </w:rPr>
      </w:pPr>
      <w:bookmarkStart w:id="52" w:name="_Toc101250646"/>
      <w:bookmarkStart w:id="53" w:name="_Toc101338364"/>
      <w:bookmarkStart w:id="54" w:name="_Toc101174151"/>
      <w:bookmarkStart w:id="55" w:name="_Toc209847069"/>
      <w:bookmarkStart w:id="56" w:name="_Toc430773927"/>
      <w:r>
        <w:rPr>
          <w:rFonts w:hint="eastAsia" w:ascii="仿宋" w:eastAsia="仿宋"/>
          <w:sz w:val="24"/>
          <w:szCs w:val="24"/>
        </w:rPr>
        <w:t>25.签订合同</w:t>
      </w:r>
      <w:bookmarkEnd w:id="52"/>
      <w:bookmarkEnd w:id="53"/>
      <w:bookmarkEnd w:id="54"/>
      <w:bookmarkEnd w:id="55"/>
      <w:bookmarkEnd w:id="56"/>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3"/>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6"/>
        <w:rPr>
          <w:rFonts w:ascii="仿宋" w:eastAsia="仿宋"/>
        </w:rPr>
      </w:pPr>
      <w:bookmarkStart w:id="57" w:name="_Toc511210238"/>
      <w:bookmarkStart w:id="58" w:name="_Toc112053978"/>
    </w:p>
    <w:p>
      <w:pPr>
        <w:pStyle w:val="16"/>
        <w:rPr>
          <w:rFonts w:ascii="仿宋" w:eastAsia="仿宋"/>
        </w:rPr>
      </w:pPr>
      <w:r>
        <w:rPr>
          <w:rFonts w:hint="eastAsia" w:ascii="仿宋" w:eastAsia="仿宋"/>
        </w:rPr>
        <w:t>第三章  供应商和报价产品的资格、资质性及其他类似效力要求</w:t>
      </w:r>
      <w:bookmarkEnd w:id="57"/>
      <w:bookmarkEnd w:id="58"/>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3"/>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3"/>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3"/>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
      <w:pPr>
        <w:pStyle w:val="16"/>
        <w:jc w:val="both"/>
        <w:rPr>
          <w:rFonts w:ascii="仿宋" w:eastAsia="仿宋"/>
          <w:bCs w:val="0"/>
        </w:rPr>
      </w:pPr>
    </w:p>
    <w:p>
      <w:pPr>
        <w:pStyle w:val="16"/>
        <w:rPr>
          <w:rFonts w:ascii="仿宋" w:eastAsia="仿宋"/>
          <w:bCs w:val="0"/>
        </w:rPr>
      </w:pPr>
      <w:bookmarkStart w:id="59" w:name="_Toc112053979"/>
      <w:r>
        <w:rPr>
          <w:rFonts w:hint="eastAsia" w:ascii="仿宋" w:eastAsia="仿宋"/>
          <w:bCs w:val="0"/>
        </w:rPr>
        <w:t>第四章  供应商应当提供的资格、资质性及其他类似效力要求的相关证明材料</w:t>
      </w:r>
      <w:bookmarkEnd w:id="59"/>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spacing w:line="400" w:lineRule="exact"/>
        <w:ind w:firstLine="480" w:firstLineChars="200"/>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80" w:firstLineChars="200"/>
        <w:rPr>
          <w:rFonts w:ascii="仿宋" w:eastAsia="仿宋"/>
          <w:sz w:val="24"/>
        </w:rPr>
      </w:pPr>
      <w:r>
        <w:rPr>
          <w:rFonts w:hint="eastAsia" w:ascii="仿宋" w:eastAsia="仿宋"/>
          <w:sz w:val="24"/>
        </w:rPr>
        <w:t>2、供应商提供具有健全的财务会计制度的承诺函。（①供应商可提供2021或2022年度经审计的财务报告（包含审计报告和审计报告中所涉及的财务报表和报表附注），②也可提供供应商内部的2021或2022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spacing w:line="400" w:lineRule="exact"/>
        <w:ind w:firstLine="480" w:firstLineChars="200"/>
        <w:rPr>
          <w:rFonts w:ascii="仿宋" w:eastAsia="仿宋"/>
          <w:sz w:val="24"/>
        </w:rPr>
      </w:pPr>
      <w:r>
        <w:rPr>
          <w:rFonts w:hint="eastAsia" w:ascii="仿宋" w:eastAsia="仿宋"/>
          <w:sz w:val="24"/>
        </w:rPr>
        <w:t>3、具备履行合同所必需的设备和专业技术能力的证明材料（可提供承诺函，格式详见第七章）；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4、具有依法缴纳税收和社会保障资金的良好记录（可提供承诺函，格式详见第七章）</w:t>
      </w:r>
    </w:p>
    <w:p>
      <w:pPr>
        <w:spacing w:line="400" w:lineRule="exact"/>
        <w:ind w:firstLine="480" w:firstLineChars="200"/>
        <w:rPr>
          <w:rFonts w:ascii="仿宋" w:eastAsia="仿宋"/>
          <w:sz w:val="24"/>
        </w:rPr>
      </w:pPr>
      <w:r>
        <w:rPr>
          <w:rFonts w:hint="eastAsia" w:ascii="仿宋" w:eastAsia="仿宋"/>
          <w:sz w:val="24"/>
        </w:rPr>
        <w:t>5、参加采购活动前3年内在经营活动中没有重大违法记录的承诺函（格式详见第七章）；</w:t>
      </w:r>
    </w:p>
    <w:p>
      <w:pPr>
        <w:spacing w:line="400" w:lineRule="exact"/>
        <w:ind w:firstLine="480" w:firstLineChars="200"/>
        <w:rPr>
          <w:rFonts w:ascii="仿宋" w:eastAsia="仿宋"/>
          <w:sz w:val="24"/>
        </w:rPr>
      </w:pPr>
      <w:r>
        <w:rPr>
          <w:rFonts w:hint="eastAsia" w:ascii="仿宋" w:eastAsia="仿宋"/>
          <w:sz w:val="24"/>
        </w:rPr>
        <w:t>6、具备法律、行政法规规定的其他条件的证明材料（可提供承诺函，格式详见第七章）；</w:t>
      </w:r>
    </w:p>
    <w:p>
      <w:pPr>
        <w:spacing w:line="400" w:lineRule="exact"/>
        <w:ind w:firstLine="480" w:firstLineChars="200"/>
        <w:rPr>
          <w:rFonts w:ascii="仿宋" w:eastAsia="仿宋"/>
          <w:sz w:val="24"/>
        </w:rPr>
      </w:pPr>
      <w:r>
        <w:rPr>
          <w:rFonts w:hint="eastAsia" w:ascii="仿宋" w:eastAsia="仿宋"/>
          <w:sz w:val="24"/>
        </w:rPr>
        <w:t>7、本项目的特定资格要求：</w:t>
      </w:r>
    </w:p>
    <w:p>
      <w:pPr>
        <w:spacing w:line="400" w:lineRule="exact"/>
        <w:ind w:firstLine="480" w:firstLineChars="200"/>
        <w:rPr>
          <w:rFonts w:ascii="仿宋" w:eastAsia="仿宋"/>
          <w:sz w:val="24"/>
        </w:rPr>
      </w:pP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60" w:name="_Toc511210240"/>
    </w:p>
    <w:p>
      <w:pPr>
        <w:pStyle w:val="16"/>
        <w:ind w:firstLine="321" w:firstLineChars="100"/>
        <w:jc w:val="both"/>
        <w:rPr>
          <w:rFonts w:ascii="仿宋" w:eastAsia="仿宋"/>
          <w:color w:val="FF0000"/>
        </w:rPr>
      </w:pPr>
      <w:bookmarkStart w:id="61" w:name="_Toc112053980"/>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jc w:val="both"/>
        <w:rPr>
          <w:rFonts w:ascii="仿宋" w:eastAsia="仿宋"/>
          <w:color w:val="FF0000"/>
        </w:rPr>
      </w:pPr>
    </w:p>
    <w:p>
      <w:pPr>
        <w:pStyle w:val="16"/>
        <w:ind w:firstLine="321" w:firstLineChars="100"/>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第五章  采购项目技术、服务、采购合同内容条款及其他商务要求</w:t>
      </w:r>
      <w:bookmarkEnd w:id="60"/>
      <w:bookmarkEnd w:id="61"/>
    </w:p>
    <w:p>
      <w:pPr>
        <w:spacing w:line="400" w:lineRule="exact"/>
        <w:jc w:val="left"/>
        <w:rPr>
          <w:rFonts w:ascii="仿宋" w:eastAsia="仿宋"/>
          <w:b/>
          <w:color w:val="FF0000"/>
          <w:sz w:val="24"/>
        </w:rPr>
      </w:pPr>
    </w:p>
    <w:p>
      <w:pPr>
        <w:pStyle w:val="3"/>
        <w:keepNext w:val="0"/>
        <w:keepLines w:val="0"/>
        <w:spacing w:before="0" w:after="0" w:line="400" w:lineRule="exact"/>
        <w:ind w:firstLine="118" w:firstLineChars="49"/>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pPr>
        <w:pStyle w:val="3"/>
        <w:keepNext w:val="0"/>
        <w:keepLines w:val="0"/>
        <w:spacing w:before="0" w:after="0" w:line="240" w:lineRule="exact"/>
        <w:jc w:val="left"/>
        <w:rPr>
          <w:rFonts w:ascii="仿宋" w:eastAsia="仿宋"/>
          <w:color w:val="FF0000"/>
          <w:sz w:val="28"/>
          <w:szCs w:val="28"/>
        </w:rPr>
      </w:pPr>
    </w:p>
    <w:p>
      <w:pPr>
        <w:pStyle w:val="3"/>
        <w:keepNext w:val="0"/>
        <w:keepLines w:val="0"/>
        <w:pageBreakBefore w:val="0"/>
        <w:kinsoku/>
        <w:wordWrap/>
        <w:overflowPunct/>
        <w:topLinePunct w:val="0"/>
        <w:autoSpaceDE/>
        <w:autoSpaceDN/>
        <w:bidi w:val="0"/>
        <w:adjustRightInd/>
        <w:snapToGrid/>
        <w:spacing w:before="0" w:after="0" w:line="560" w:lineRule="exact"/>
        <w:ind w:left="562"/>
        <w:jc w:val="left"/>
        <w:textAlignment w:val="auto"/>
        <w:rPr>
          <w:rFonts w:ascii="方正仿宋_GBK" w:hAnsi="方正仿宋_GBK" w:eastAsia="方正仿宋_GBK" w:cs="方正仿宋_GBK"/>
          <w:color w:val="000000" w:themeColor="text1"/>
          <w:sz w:val="28"/>
          <w:szCs w:val="28"/>
          <w14:textFill>
            <w14:solidFill>
              <w14:schemeClr w14:val="tx1"/>
            </w14:solidFill>
          </w14:textFill>
        </w:rPr>
      </w:pPr>
      <w:bookmarkStart w:id="62" w:name="_Toc112053981"/>
      <w:r>
        <w:rPr>
          <w:rFonts w:hint="eastAsia" w:ascii="方正仿宋_GBK" w:hAnsi="方正仿宋_GBK" w:eastAsia="方正仿宋_GBK" w:cs="方正仿宋_GBK"/>
          <w:color w:val="000000" w:themeColor="text1"/>
          <w:sz w:val="28"/>
          <w:szCs w:val="28"/>
          <w14:textFill>
            <w14:solidFill>
              <w14:schemeClr w14:val="tx1"/>
            </w14:solidFill>
          </w14:textFill>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ascii="Times New Roman" w:hAnsi="Times New Roman" w:eastAsia="方正仿宋_GBK" w:cs="Times New Roman"/>
          <w:color w:val="000000" w:themeColor="text1"/>
          <w:sz w:val="28"/>
          <w:szCs w:val="28"/>
          <w14:textFill>
            <w14:solidFill>
              <w14:schemeClr w14:val="tx1"/>
            </w14:solidFill>
          </w14:textFill>
        </w:rPr>
        <w:t>为进一步促进九寨沟景区开拓珠三角重要客源市场，加强九寨沟景区在珠三角的推广力度，提升九寨沟“人间仙境 童话世界”品牌知名度与市场影响力，增强九寨沟景区与珠三角文旅同业之间的交流与合作，进而拓宽游客输送通道</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拟定于广州市</w:t>
      </w:r>
      <w:r>
        <w:rPr>
          <w:rFonts w:hint="eastAsia" w:ascii="Times New Roman" w:hAnsi="Times New Roman" w:eastAsia="方正仿宋_GBK" w:cs="Times New Roman"/>
          <w:color w:val="000000" w:themeColor="text1"/>
          <w:sz w:val="28"/>
          <w:szCs w:val="28"/>
          <w14:textFill>
            <w14:solidFill>
              <w14:schemeClr w14:val="tx1"/>
            </w14:solidFill>
          </w14:textFill>
        </w:rPr>
        <w:t>举办一场</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景区</w:t>
      </w:r>
      <w:r>
        <w:rPr>
          <w:rFonts w:hint="eastAsia" w:ascii="Times New Roman" w:hAnsi="Times New Roman" w:eastAsia="方正仿宋_GBK" w:cs="Times New Roman"/>
          <w:color w:val="000000" w:themeColor="text1"/>
          <w:sz w:val="28"/>
          <w:szCs w:val="28"/>
          <w14:textFill>
            <w14:solidFill>
              <w14:schemeClr w14:val="tx1"/>
            </w14:solidFill>
          </w14:textFill>
        </w:rPr>
        <w:t>文旅推介会，</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参加活动人数预计100人。现拟确定一家供应商提供会务服务。</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二、服务内容及技术、服务要求</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eastAsia" w:ascii="仿宋" w:eastAsia="仿宋"/>
          <w:color w:val="000000" w:themeColor="text1"/>
          <w:sz w:val="28"/>
          <w:szCs w:val="28"/>
          <w:lang w:val="en-US" w:eastAsia="zh-CN"/>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仿宋" w:eastAsia="仿宋"/>
          <w:color w:val="000000" w:themeColor="text1"/>
          <w:sz w:val="28"/>
          <w:szCs w:val="28"/>
          <w14:textFill>
            <w14:solidFill>
              <w14:schemeClr w14:val="tx1"/>
            </w14:solidFill>
          </w14:textFill>
        </w:rPr>
        <w:t>（一）</w:t>
      </w:r>
      <w:r>
        <w:rPr>
          <w:rFonts w:hint="eastAsia" w:ascii="仿宋" w:eastAsia="仿宋"/>
          <w:color w:val="000000" w:themeColor="text1"/>
          <w:sz w:val="28"/>
          <w:szCs w:val="28"/>
          <w:lang w:val="en-US" w:eastAsia="zh-CN"/>
          <w14:textFill>
            <w14:solidFill>
              <w14:schemeClr w14:val="tx1"/>
            </w14:solidFill>
          </w14:textFill>
        </w:rPr>
        <w:t>总体服务内容及要求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预计2024年6月期间，在广州举办1场旅游推介会（规模100人左右），</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结合九寨沟景区和广州旅游消费市场特征，深挖九寨沟旅游度假特色亮点，邀请九寨沟文旅行业及相关优品质单位负责人、广州文旅系统相关领导、嘉宾，广州旅行社协会、文旅企业、旅行商与自驾游协会、摄影协会等相关人士，以及主流媒体记者等出席活动，向重要客源地宣传推介九寨沟旅游资源和产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供应商应全面负责本项目所涉及活动的策划、设计、宣传、组织和实施。</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（二）具体服务内容及要求</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1、会场租赁</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完成</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会场租赁</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推介会活动场所相关租赁（包括会场、休息室场地及沙发、桌椅等），需综合考虑场地的交通、人流、档次、面积、布局等相关元素，会场内坐席需按照参会不少于100人规模布置。</w:t>
      </w:r>
    </w:p>
    <w:p>
      <w:pPr>
        <w:pStyle w:val="5"/>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2、活动物料设计及制作</w:t>
      </w:r>
    </w:p>
    <w:p>
      <w:pPr>
        <w:pStyle w:val="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供应商成交后7日内需提供相应的设计方案，</w:t>
      </w: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设计方案包含并不限于与活动相关的宣传画面、展示物料、氛围营造物料等的设计与制作。</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包含不限于主K画面设计、桌卡设计、会议日程排版、讲台贴设计排版、导示系统设计、会议主题背景设计、接送车辆标识、签到背景搭建（不小于5*3m）、会议流程、笔记本、签字笔、胸卡、导示牌制作、温馨提示卡制作、大会形象背景板（不小于3*5m）、手持引导牌、接机牌、签到簿等，以上物料数量根据采购人需求确定。</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活动现场布置</w:t>
      </w:r>
    </w:p>
    <w:p>
      <w:pPr>
        <w:pStyle w:val="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（1）主会场布置</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主会场布置内容应包含主会场设备及会场舞台搭建、仪式准备，其中LED（p2.5）搭建面积不低于65㎡，LED基座+舞台、10个易拉宝、LED处理器、数字调光台（主）、会场灯光效果需清晰明亮、音响效果要求清晰不刺耳。</w:t>
      </w:r>
    </w:p>
    <w:p>
      <w:pPr>
        <w:pStyle w:val="5"/>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（2）九寨沟文旅产品展示区布置</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宋体"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在推介会会场现场设置九寨沟文旅产品展区互动区域，设计文旅、文博、非遗、文创等多个九寨沟特色品牌摊位展区，展示互动区域面积不少于50平方米。布置内容包括：6个展柜及5个桌台（尺寸以活动现场测量为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4、特色节目安排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推介活动中需穿插藏族羌族特色文艺表演，丰富活动内容，让大众感受到来自的九寨沟暖心和热情。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ascii="仿宋" w:eastAsia="仿宋"/>
          <w:b/>
          <w:bCs/>
          <w:color w:val="000000" w:themeColor="text1"/>
          <w:sz w:val="24"/>
          <w:szCs w:val="24"/>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5、会场主持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聘请一位主持人，为期一天。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仿宋" w:eastAsia="仿宋"/>
          <w:b/>
          <w:bCs/>
          <w:color w:val="000000" w:themeColor="text1"/>
          <w:sz w:val="24"/>
          <w:szCs w:val="24"/>
          <w:lang w:val="en-US" w:eastAsia="zh-CN"/>
          <w14:textFill>
            <w14:solidFill>
              <w14:schemeClr w14:val="tx1"/>
            </w14:solidFill>
          </w14:textFill>
        </w:rPr>
      </w:pPr>
      <w:r>
        <w:rPr>
          <w:rFonts w:ascii="仿宋" w:eastAsia="仿宋"/>
          <w:b/>
          <w:bCs/>
          <w:color w:val="000000" w:themeColor="text1"/>
          <w:sz w:val="24"/>
          <w:szCs w:val="24"/>
          <w14:textFill>
            <w14:solidFill>
              <w14:schemeClr w14:val="tx1"/>
            </w14:solidFill>
          </w14:textFill>
        </w:rPr>
        <w:t>*</w:t>
      </w:r>
      <w:r>
        <w:rPr>
          <w:rFonts w:hint="eastAsia" w:ascii="仿宋" w:eastAsia="仿宋"/>
          <w:b/>
          <w:bCs/>
          <w:color w:val="000000" w:themeColor="text1"/>
          <w:sz w:val="24"/>
          <w:szCs w:val="24"/>
          <w:lang w:val="en-US" w:eastAsia="zh-CN"/>
          <w14:textFill>
            <w14:solidFill>
              <w14:schemeClr w14:val="tx1"/>
            </w14:solidFill>
          </w14:textFill>
        </w:rPr>
        <w:t>6、人员配置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供应商需针对本项目成立专项服务团队，专项服务团队需在整个服务期内按照服务内容进行服务，现场活动服务人员不少于10人。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ascii="仿宋" w:eastAsia="仿宋"/>
          <w:b/>
          <w:bCs/>
          <w:color w:val="000000" w:themeColor="text1"/>
          <w:sz w:val="24"/>
          <w:szCs w:val="24"/>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7、活动保障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现场活动搭建需确保结构牢固，确保会场搭建质量，确保结构牢固安全，在活动现场布置施工期间一切安全事故均由成交供应商负责。活动现场撤出事宜由成交供应商负责，需将现场物资全部清理干净，包括活动现场相关区域垃圾处理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（2）供应商应做好相应的活动现场风险识别及应急预案，维护活动现场服务秩序，防止活动现场出现突发情况等，现场工作人员能够及时处理，确保活动顺利进行。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8、活动宣传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（1）参会人员邀请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供应商需邀请邀请自媒体、旅行社、自驾游协会、摄影协会等相关文旅行业人士参与本次推介会。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（2）媒体宣传邀请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供应商需邀请不少于10家粤港澳主流媒体记者（包括电视、电台、报纸、网络等），以新闻形式进行报道宣传，媒体平台需有影响力和权威性。</w:t>
      </w:r>
    </w:p>
    <w:p>
      <w:pPr>
        <w:pStyle w:val="37"/>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（3）活动直播</w:t>
      </w:r>
    </w:p>
    <w:p>
      <w:pPr>
        <w:pStyle w:val="37"/>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对推介会活动进行现场图片直播及同步会议直播，现场直播需全程直播顺畅，不允许发生断播、卡顿、延迟等情况，另外还需包含视频流合成处理服务，视频会议软件客户端，第三方推流直播服务系统，视频点播回放系统等。</w:t>
      </w:r>
    </w:p>
    <w:p>
      <w:pPr>
        <w:pStyle w:val="37"/>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bidi="ar-SA"/>
          <w14:textFill>
            <w14:solidFill>
              <w14:schemeClr w14:val="tx1"/>
            </w14:solidFill>
          </w14:textFill>
        </w:rPr>
        <w:t>（4）平台宣传</w:t>
      </w:r>
    </w:p>
    <w:p>
      <w:pPr>
        <w:pStyle w:val="37"/>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在新浪、网易、搜狐、腾讯、今日头条、微博、微信公众号、小红书等网络新媒体平台进行活动报道；同时以快剪形式制作1条活动视频在抖音、快手、视频号、头条视频、B站等网络视频平台播放</w:t>
      </w: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。完成线上电台推广1次。活动视频、文章等须通过景区相关人员审核后发布。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（1）供应商需负责活动人员落地广州的用车、用餐和住宿安排等。需负责推介会后同业洽谈及餐叙（约50人）。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（2）报价要求：本次报价包含本项目活动实施费用以及采购人邀请的嘉宾相关费用。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*四、商务要求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（1）服务地点：广州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（2）服务期限：2024年6月初至2024年6月底。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（3）技术服务进度：6月初确定活动举办场地，6月中旬前完成线下推介活动，同时在线上配合相关的宣传推广。</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（4）项目成果：本项目履约结束后需向采购人提供纸质版整体活动结案报告1份。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（5）</w:t>
      </w: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付款方式及条件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1、合同签订之日起15个工作日内，采购人向成交供应商支付合同总金额的70%作为首付款。通过履约验收后15个工作日内，采购人向成交供应商支付合同总金额30%尾款。每阶段付款前，成交供应商需根据采购人要求开具与应付金额等额的增值税发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2、因成交供应商未及时出具合法有效完整的增值税发票及凭证资料，导致采购人无法结算支付金额或延期支付的，采购人不承担违约责任。</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SA"/>
          <w14:textFill>
            <w14:solidFill>
              <w14:schemeClr w14:val="tx1"/>
            </w14:solidFill>
          </w14:textFill>
        </w:rPr>
        <w:t>（6）验收标准</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按照磋商文件的质量要求和服务指标、成交供应商的磋商文件及承诺以及合同约定标准进行验收。</w:t>
      </w:r>
    </w:p>
    <w:p>
      <w:pPr>
        <w:keepNext w:val="0"/>
        <w:keepLines w:val="0"/>
        <w:pageBreakBefore w:val="0"/>
        <w:kinsoku/>
        <w:wordWrap/>
        <w:overflowPunct/>
        <w:topLinePunct w:val="0"/>
        <w:autoSpaceDE/>
        <w:autoSpaceDN/>
        <w:bidi w:val="0"/>
        <w:adjustRightInd/>
        <w:snapToGrid/>
        <w:spacing w:line="560" w:lineRule="exact"/>
        <w:textAlignment w:val="auto"/>
      </w:pPr>
    </w:p>
    <w:p>
      <w:pPr>
        <w:pStyle w:val="7"/>
      </w:pPr>
    </w:p>
    <w:p>
      <w:pPr>
        <w:pStyle w:val="7"/>
      </w:pPr>
    </w:p>
    <w:p/>
    <w:p/>
    <w:p/>
    <w:p/>
    <w:p/>
    <w:p/>
    <w:p/>
    <w:p/>
    <w:p/>
    <w:p/>
    <w:p/>
    <w:p/>
    <w:p/>
    <w:p/>
    <w:p/>
    <w:p/>
    <w:p/>
    <w:p/>
    <w:p/>
    <w:p/>
    <w:p/>
    <w:p/>
    <w:p/>
    <w:p/>
    <w:p/>
    <w:p/>
    <w:p/>
    <w:p/>
    <w:p/>
    <w:p/>
    <w:p/>
    <w:p/>
    <w:p>
      <w:pPr>
        <w:spacing w:line="401" w:lineRule="auto"/>
        <w:ind w:firstLine="643" w:firstLineChars="200"/>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2"/>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pStyle w:val="3"/>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3" w:name="_Toc112053982"/>
    </w:p>
    <w:p>
      <w:pPr>
        <w:pStyle w:val="23"/>
        <w:rPr>
          <w:rFonts w:ascii="仿宋" w:eastAsia="仿宋" w:cs="Times New Roman"/>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both"/>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3"/>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30"/>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4" w:name="_Toc112053983"/>
      <w:r>
        <w:rPr>
          <w:rFonts w:ascii="Times New Roman" w:hAnsi="Times New Roman" w:eastAsia="仿宋" w:cs="Times New Roman"/>
          <w:b/>
          <w:sz w:val="36"/>
          <w:szCs w:val="36"/>
        </w:rPr>
        <w:t>第八章  评审方法</w:t>
      </w:r>
      <w:bookmarkEnd w:id="64"/>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650"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szCs w:val="21"/>
              </w:rPr>
            </w:pPr>
            <w:r>
              <w:rPr>
                <w:rFonts w:hint="eastAsia" w:ascii="仿宋" w:hAnsi="仿宋" w:eastAsia="仿宋"/>
                <w:szCs w:val="21"/>
              </w:rPr>
              <w:t>报价</w:t>
            </w:r>
            <w:r>
              <w:rPr>
                <w:rFonts w:hint="eastAsia" w:ascii="仿宋" w:hAnsi="仿宋" w:eastAsia="仿宋"/>
                <w:szCs w:val="21"/>
                <w:lang w:val="en-US" w:eastAsia="zh-CN"/>
              </w:rPr>
              <w:t>10</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（主要评分因素）</w:t>
            </w:r>
          </w:p>
        </w:tc>
        <w:tc>
          <w:tcPr>
            <w:tcW w:w="807" w:type="dxa"/>
            <w:vAlign w:val="center"/>
          </w:tcPr>
          <w:p>
            <w:pPr>
              <w:jc w:val="center"/>
              <w:rPr>
                <w:rFonts w:ascii="仿宋" w:hAnsi="仿宋" w:eastAsia="仿宋"/>
                <w:szCs w:val="21"/>
              </w:rPr>
            </w:pPr>
            <w:r>
              <w:rPr>
                <w:rFonts w:hint="eastAsia" w:ascii="仿宋" w:hAnsi="仿宋" w:eastAsia="仿宋"/>
                <w:szCs w:val="21"/>
                <w:lang w:val="en-US" w:eastAsia="zh-CN"/>
              </w:rPr>
              <w:t>10</w:t>
            </w:r>
            <w:r>
              <w:rPr>
                <w:rFonts w:hint="eastAsia" w:ascii="仿宋" w:hAnsi="仿宋" w:eastAsia="仿宋"/>
                <w:szCs w:val="21"/>
              </w:rPr>
              <w:t>分</w:t>
            </w:r>
          </w:p>
        </w:tc>
        <w:tc>
          <w:tcPr>
            <w:tcW w:w="5650" w:type="dxa"/>
            <w:vAlign w:val="center"/>
          </w:tcPr>
          <w:p>
            <w:pPr>
              <w:rPr>
                <w:rFonts w:ascii="仿宋" w:hAnsi="仿宋" w:eastAsia="仿宋"/>
                <w:szCs w:val="21"/>
              </w:rPr>
            </w:pPr>
            <w:r>
              <w:rPr>
                <w:rFonts w:hint="eastAsia" w:ascii="仿宋" w:hAnsi="仿宋" w:eastAsia="仿宋"/>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szCs w:val="21"/>
                <w:lang w:val="en-US" w:eastAsia="zh-CN"/>
              </w:rPr>
              <w:t>10</w:t>
            </w:r>
            <w:r>
              <w:rPr>
                <w:rFonts w:hint="eastAsia" w:ascii="仿宋" w:hAnsi="仿宋" w:eastAsia="仿宋"/>
                <w:szCs w:val="21"/>
              </w:rPr>
              <w:t>%*100</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p>
        </w:tc>
        <w:tc>
          <w:tcPr>
            <w:tcW w:w="1119" w:type="dxa"/>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服务要求</w:t>
            </w:r>
            <w:r>
              <w:rPr>
                <w:rFonts w:hint="eastAsia" w:ascii="仿宋" w:hAnsi="仿宋" w:eastAsia="仿宋"/>
                <w:color w:val="000000" w:themeColor="text1"/>
                <w:szCs w:val="21"/>
                <w:lang w:val="en-US" w:eastAsia="zh-CN"/>
                <w14:textFill>
                  <w14:solidFill>
                    <w14:schemeClr w14:val="tx1"/>
                  </w14:solidFill>
                </w14:textFill>
              </w:rPr>
              <w:t>15％</w:t>
            </w:r>
          </w:p>
        </w:tc>
        <w:tc>
          <w:tcPr>
            <w:tcW w:w="807"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分</w:t>
            </w:r>
          </w:p>
        </w:tc>
        <w:tc>
          <w:tcPr>
            <w:tcW w:w="5650" w:type="dxa"/>
            <w:vAlign w:val="center"/>
          </w:tcPr>
          <w:p>
            <w:pPr>
              <w:widowControl/>
              <w:spacing w:line="320" w:lineRule="exact"/>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完全符合磋商文件第五章技术服务要求，没有负偏离得满分；低于磋商文件要求的（负偏离），一项扣</w:t>
            </w: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分，最多扣</w:t>
            </w:r>
            <w:r>
              <w:rPr>
                <w:rFonts w:hint="eastAsia" w:ascii="仿宋" w:hAnsi="仿宋" w:eastAsia="仿宋"/>
                <w:color w:val="000000" w:themeColor="text1"/>
                <w:szCs w:val="21"/>
                <w:lang w:val="en-US" w:eastAsia="zh-CN"/>
                <w14:textFill>
                  <w14:solidFill>
                    <w14:schemeClr w14:val="tx1"/>
                  </w14:solidFill>
                </w14:textFill>
              </w:rPr>
              <w:t>15</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（共</w:t>
            </w: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color w:val="000000" w:themeColor="text1"/>
                <w:szCs w:val="21"/>
                <w14:textFill>
                  <w14:solidFill>
                    <w14:schemeClr w14:val="tx1"/>
                  </w14:solidFill>
                </w14:textFill>
              </w:rPr>
              <w:t>项）</w:t>
            </w:r>
          </w:p>
          <w:p>
            <w:pPr>
              <w:widowControl/>
              <w:spacing w:line="320" w:lineRule="exact"/>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 注：以单个序号为一项，单个序号下有更小级序号的，以更小级序号为一项，直至最小级序号为止，最小级序号为“（1）”“（2）“（3）”……。</w:t>
            </w:r>
          </w:p>
          <w:p>
            <w:pPr>
              <w:widowControl/>
              <w:spacing w:line="320" w:lineRule="exact"/>
              <w:jc w:val="left"/>
              <w:rPr>
                <w:rFonts w:hint="eastAsia"/>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标“</w:t>
            </w:r>
            <w:r>
              <w:rPr>
                <w:rFonts w:hint="eastAsia" w:ascii="仿宋" w:hAnsi="仿宋" w:eastAsia="仿宋"/>
                <w:color w:val="000000" w:themeColor="text1"/>
                <w:szCs w:val="21"/>
                <w:lang w:val="en-US"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”的实质性内容不纳入本项评审。</w:t>
            </w:r>
          </w:p>
        </w:tc>
        <w:tc>
          <w:tcPr>
            <w:tcW w:w="1499" w:type="dxa"/>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3</w:t>
            </w:r>
          </w:p>
        </w:tc>
        <w:tc>
          <w:tcPr>
            <w:tcW w:w="1119" w:type="dxa"/>
            <w:vAlign w:val="center"/>
          </w:tcPr>
          <w:p>
            <w:pPr>
              <w:jc w:val="left"/>
              <w:rPr>
                <w:rFonts w:ascii="仿宋" w:hAnsi="仿宋" w:eastAsia="仿宋"/>
                <w:szCs w:val="21"/>
              </w:rPr>
            </w:pPr>
            <w:r>
              <w:rPr>
                <w:rFonts w:hint="eastAsia" w:ascii="仿宋" w:hAnsi="仿宋" w:eastAsia="仿宋"/>
                <w:szCs w:val="21"/>
              </w:rPr>
              <w:t>服务方案</w:t>
            </w:r>
            <w:r>
              <w:rPr>
                <w:rFonts w:hint="eastAsia" w:ascii="仿宋" w:hAnsi="仿宋" w:eastAsia="仿宋"/>
                <w:szCs w:val="21"/>
                <w:lang w:val="en-US" w:eastAsia="zh-CN"/>
              </w:rPr>
              <w:t>50</w:t>
            </w:r>
            <w:r>
              <w:rPr>
                <w:rFonts w:hint="eastAsia" w:ascii="仿宋" w:hAnsi="仿宋" w:eastAsia="仿宋"/>
                <w:szCs w:val="21"/>
              </w:rPr>
              <w:t>%（主要评分因素）</w:t>
            </w:r>
          </w:p>
        </w:tc>
        <w:tc>
          <w:tcPr>
            <w:tcW w:w="807" w:type="dxa"/>
            <w:vAlign w:val="center"/>
          </w:tcPr>
          <w:p>
            <w:pPr>
              <w:jc w:val="center"/>
              <w:rPr>
                <w:rFonts w:ascii="仿宋" w:hAnsi="仿宋" w:eastAsia="仿宋"/>
                <w:szCs w:val="21"/>
              </w:rPr>
            </w:pPr>
            <w:r>
              <w:rPr>
                <w:rFonts w:hint="eastAsia" w:ascii="仿宋" w:hAnsi="仿宋" w:eastAsia="仿宋"/>
                <w:szCs w:val="21"/>
                <w:lang w:val="en-US" w:eastAsia="zh-CN"/>
              </w:rPr>
              <w:t>50</w:t>
            </w:r>
            <w:r>
              <w:rPr>
                <w:rFonts w:hint="eastAsia" w:ascii="仿宋" w:hAnsi="仿宋" w:eastAsia="仿宋"/>
                <w:szCs w:val="21"/>
              </w:rPr>
              <w:t>分</w:t>
            </w:r>
          </w:p>
        </w:tc>
        <w:tc>
          <w:tcPr>
            <w:tcW w:w="5650" w:type="dxa"/>
            <w:vAlign w:val="center"/>
          </w:tcPr>
          <w:p>
            <w:pPr>
              <w:autoSpaceDN w:val="0"/>
              <w:rPr>
                <w:rFonts w:hint="eastAsia" w:ascii="仿宋" w:hAnsi="仿宋" w:eastAsia="仿宋"/>
                <w:szCs w:val="21"/>
              </w:rPr>
            </w:pPr>
            <w:r>
              <w:rPr>
                <w:rFonts w:hint="eastAsia" w:ascii="仿宋" w:hAnsi="仿宋" w:eastAsia="仿宋"/>
                <w:szCs w:val="21"/>
              </w:rPr>
              <w:t>根据供应商提供的针对本项目编制的服务方案进行综合评审，内容包括：</w:t>
            </w:r>
          </w:p>
          <w:p>
            <w:pPr>
              <w:widowControl/>
              <w:spacing w:line="320" w:lineRule="exact"/>
              <w:rPr>
                <w:rFonts w:hint="default" w:ascii="仿宋" w:hAnsi="仿宋" w:eastAsia="仿宋"/>
                <w:szCs w:val="21"/>
                <w:lang w:val="en-US" w:eastAsia="zh-CN"/>
              </w:rPr>
            </w:pPr>
            <w:r>
              <w:rPr>
                <w:rFonts w:hint="eastAsia" w:ascii="仿宋" w:hAnsi="仿宋" w:eastAsia="仿宋"/>
                <w:szCs w:val="21"/>
              </w:rPr>
              <w:t>(1)</w:t>
            </w:r>
            <w:r>
              <w:rPr>
                <w:rFonts w:hint="eastAsia" w:ascii="仿宋" w:hAnsi="仿宋" w:eastAsia="仿宋"/>
                <w:szCs w:val="21"/>
                <w:lang w:val="en-US" w:eastAsia="zh-CN"/>
              </w:rPr>
              <w:t>活动物料设计方案</w:t>
            </w:r>
          </w:p>
          <w:p>
            <w:pPr>
              <w:widowControl/>
              <w:spacing w:line="320" w:lineRule="exact"/>
              <w:rPr>
                <w:rFonts w:ascii="仿宋" w:hAnsi="仿宋" w:eastAsia="仿宋"/>
                <w:szCs w:val="21"/>
              </w:rPr>
            </w:pPr>
            <w:r>
              <w:rPr>
                <w:rFonts w:hint="eastAsia" w:ascii="仿宋" w:hAnsi="仿宋" w:eastAsia="仿宋"/>
                <w:szCs w:val="21"/>
              </w:rPr>
              <w:t>(2)活动</w:t>
            </w:r>
            <w:r>
              <w:rPr>
                <w:rFonts w:hint="eastAsia" w:ascii="仿宋" w:hAnsi="仿宋" w:eastAsia="仿宋"/>
                <w:szCs w:val="21"/>
                <w:lang w:val="en-US" w:eastAsia="zh-CN"/>
              </w:rPr>
              <w:t>媒体宣传</w:t>
            </w:r>
            <w:r>
              <w:rPr>
                <w:rFonts w:hint="eastAsia" w:ascii="仿宋" w:hAnsi="仿宋" w:eastAsia="仿宋"/>
                <w:szCs w:val="21"/>
              </w:rPr>
              <w:t>方案</w:t>
            </w:r>
          </w:p>
          <w:p>
            <w:pPr>
              <w:widowControl/>
              <w:spacing w:line="320" w:lineRule="exact"/>
              <w:rPr>
                <w:rFonts w:ascii="仿宋" w:hAnsi="仿宋" w:eastAsia="仿宋"/>
                <w:szCs w:val="21"/>
              </w:rPr>
            </w:pPr>
            <w:r>
              <w:rPr>
                <w:rFonts w:hint="eastAsia" w:ascii="仿宋" w:hAnsi="仿宋" w:eastAsia="仿宋"/>
                <w:szCs w:val="21"/>
              </w:rPr>
              <w:t>(3)活动会场布置方案</w:t>
            </w:r>
          </w:p>
          <w:p>
            <w:pPr>
              <w:widowControl/>
              <w:spacing w:line="320" w:lineRule="exact"/>
              <w:rPr>
                <w:rFonts w:hint="eastAsia" w:ascii="仿宋" w:hAnsi="仿宋" w:eastAsia="仿宋"/>
                <w:szCs w:val="21"/>
                <w:lang w:val="en-US" w:eastAsia="zh-CN"/>
              </w:rPr>
            </w:pPr>
            <w:r>
              <w:rPr>
                <w:rFonts w:hint="eastAsia" w:ascii="仿宋" w:hAnsi="仿宋" w:eastAsia="仿宋"/>
                <w:szCs w:val="21"/>
                <w:lang w:val="en-US" w:eastAsia="zh-CN"/>
              </w:rPr>
              <w:t>(4)活动直播方案</w:t>
            </w:r>
          </w:p>
          <w:p>
            <w:pPr>
              <w:widowControl/>
              <w:spacing w:line="320" w:lineRule="exact"/>
              <w:rPr>
                <w:rFonts w:ascii="仿宋" w:hAnsi="仿宋" w:eastAsia="仿宋"/>
                <w:szCs w:val="21"/>
              </w:rPr>
            </w:pPr>
            <w:r>
              <w:rPr>
                <w:rFonts w:hint="eastAsia" w:ascii="仿宋" w:hAnsi="仿宋" w:eastAsia="仿宋"/>
                <w:color w:val="000000" w:themeColor="text1"/>
                <w:szCs w:val="21"/>
                <w:lang w:val="en-US" w:eastAsia="zh-CN"/>
                <w14:textFill>
                  <w14:solidFill>
                    <w14:schemeClr w14:val="tx1"/>
                  </w14:solidFill>
                </w14:textFill>
              </w:rPr>
              <w:t>(5)</w:t>
            </w:r>
            <w:r>
              <w:rPr>
                <w:rFonts w:hint="eastAsia" w:ascii="仿宋" w:hAnsi="仿宋" w:eastAsia="仿宋"/>
                <w:szCs w:val="21"/>
              </w:rPr>
              <w:t>应急方案（包括活动延期、取消调整等可能引起合同变更的处置程序等）；</w:t>
            </w:r>
          </w:p>
          <w:p>
            <w:pPr>
              <w:widowControl/>
              <w:spacing w:line="320" w:lineRule="exact"/>
              <w:rPr>
                <w:rFonts w:ascii="仿宋" w:hAnsi="仿宋" w:eastAsia="仿宋"/>
                <w:szCs w:val="21"/>
              </w:rPr>
            </w:pPr>
            <w:r>
              <w:rPr>
                <w:rFonts w:hint="eastAsia" w:ascii="仿宋" w:hAnsi="仿宋" w:eastAsia="仿宋"/>
                <w:szCs w:val="21"/>
              </w:rPr>
              <w:t>本项内容齐全的，得</w:t>
            </w:r>
            <w:r>
              <w:rPr>
                <w:rFonts w:hint="eastAsia" w:ascii="仿宋" w:hAnsi="仿宋" w:eastAsia="仿宋"/>
                <w:szCs w:val="21"/>
                <w:lang w:val="en-US" w:eastAsia="zh-CN"/>
              </w:rPr>
              <w:t>50</w:t>
            </w:r>
            <w:r>
              <w:rPr>
                <w:rFonts w:hint="eastAsia" w:ascii="仿宋" w:hAnsi="仿宋" w:eastAsia="仿宋"/>
                <w:szCs w:val="21"/>
              </w:rPr>
              <w:t>分；每有一项内容缺失的扣</w:t>
            </w:r>
            <w:r>
              <w:rPr>
                <w:rFonts w:hint="eastAsia" w:ascii="仿宋" w:hAnsi="仿宋" w:eastAsia="仿宋"/>
                <w:szCs w:val="21"/>
                <w:lang w:val="en-US" w:eastAsia="zh-CN"/>
              </w:rPr>
              <w:t>10</w:t>
            </w:r>
            <w:r>
              <w:rPr>
                <w:rFonts w:hint="eastAsia" w:ascii="仿宋" w:hAnsi="仿宋" w:eastAsia="仿宋"/>
                <w:szCs w:val="21"/>
              </w:rPr>
              <w:t>分，每有一项内容有缺陷的扣</w:t>
            </w:r>
            <w:r>
              <w:rPr>
                <w:rFonts w:hint="eastAsia" w:ascii="仿宋" w:hAnsi="仿宋" w:eastAsia="仿宋"/>
                <w:szCs w:val="21"/>
                <w:lang w:val="en-US" w:eastAsia="zh-CN"/>
              </w:rPr>
              <w:t>2</w:t>
            </w:r>
            <w:r>
              <w:rPr>
                <w:rFonts w:hint="eastAsia" w:ascii="仿宋" w:hAnsi="仿宋" w:eastAsia="仿宋"/>
                <w:szCs w:val="21"/>
              </w:rPr>
              <w:t>分，直至本项分值扣完为止。</w:t>
            </w:r>
          </w:p>
          <w:p>
            <w:pPr>
              <w:autoSpaceDN w:val="0"/>
              <w:rPr>
                <w:rFonts w:hint="default"/>
                <w:lang w:val="en-US"/>
              </w:rPr>
            </w:pPr>
            <w:r>
              <w:rPr>
                <w:rFonts w:hint="eastAsia" w:ascii="仿宋" w:hAnsi="仿宋" w:eastAsia="仿宋"/>
                <w:szCs w:val="21"/>
              </w:rPr>
              <w:t>（注：内容缺陷是指：内容非专门针对本项目或不适用项目特性的情形、套用其他项目方案、内容前后矛盾、涉及的规范及标准错误、不利于项目实施、不可能实现的情形等任意一种情形。）</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w:t>
            </w:r>
          </w:p>
        </w:tc>
        <w:tc>
          <w:tcPr>
            <w:tcW w:w="1119" w:type="dxa"/>
            <w:vAlign w:val="center"/>
          </w:tcPr>
          <w:p>
            <w:pPr>
              <w:jc w:val="center"/>
              <w:rPr>
                <w:rFonts w:hint="eastAsia"/>
                <w:color w:val="000000" w:themeColor="text1"/>
                <w14:textFill>
                  <w14:solidFill>
                    <w14:schemeClr w14:val="tx1"/>
                  </w14:solidFill>
                </w14:textFill>
              </w:rPr>
            </w:pPr>
            <w:r>
              <w:rPr>
                <w:rFonts w:hint="eastAsia" w:ascii="仿宋" w:hAnsi="仿宋" w:eastAsia="仿宋"/>
                <w:szCs w:val="21"/>
              </w:rPr>
              <w:t>人员配置15%</w:t>
            </w:r>
          </w:p>
        </w:tc>
        <w:tc>
          <w:tcPr>
            <w:tcW w:w="807" w:type="dxa"/>
            <w:vAlign w:val="center"/>
          </w:tcPr>
          <w:p>
            <w:pPr>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15分</w:t>
            </w:r>
          </w:p>
        </w:tc>
        <w:tc>
          <w:tcPr>
            <w:tcW w:w="5650" w:type="dxa"/>
            <w:vAlign w:val="center"/>
          </w:tcPr>
          <w:p>
            <w:pPr>
              <w:widowControl/>
              <w:spacing w:line="320" w:lineRule="exact"/>
              <w:rPr>
                <w:rFonts w:ascii="仿宋" w:hAnsi="仿宋" w:eastAsia="仿宋"/>
                <w:szCs w:val="21"/>
              </w:rPr>
            </w:pPr>
            <w:r>
              <w:rPr>
                <w:rFonts w:hint="eastAsia" w:ascii="仿宋" w:hAnsi="仿宋" w:eastAsia="仿宋"/>
                <w:szCs w:val="21"/>
              </w:rPr>
              <w:t>供应商应为本项目制定详细的人员配置方案，方案内容包括：</w:t>
            </w:r>
          </w:p>
          <w:p>
            <w:pPr>
              <w:widowControl/>
              <w:spacing w:line="320" w:lineRule="exact"/>
              <w:rPr>
                <w:rFonts w:ascii="仿宋" w:hAnsi="仿宋" w:eastAsia="仿宋"/>
                <w:szCs w:val="21"/>
              </w:rPr>
            </w:pPr>
            <w:r>
              <w:rPr>
                <w:rFonts w:hint="eastAsia" w:ascii="仿宋" w:hAnsi="仿宋" w:eastAsia="仿宋"/>
                <w:szCs w:val="21"/>
              </w:rPr>
              <w:t>(1)工作人员配置(2)组织结构(3)类似工作经验</w:t>
            </w:r>
          </w:p>
          <w:p>
            <w:pPr>
              <w:widowControl/>
              <w:spacing w:line="320" w:lineRule="exact"/>
              <w:rPr>
                <w:rFonts w:ascii="仿宋" w:hAnsi="仿宋" w:eastAsia="仿宋"/>
                <w:szCs w:val="21"/>
              </w:rPr>
            </w:pPr>
            <w:r>
              <w:rPr>
                <w:rFonts w:hint="eastAsia" w:ascii="仿宋" w:hAnsi="仿宋" w:eastAsia="仿宋"/>
                <w:szCs w:val="21"/>
              </w:rPr>
              <w:t>本项内容齐全的，得15分；每有一项内容缺失的扣5分，每有一项内容有缺陷的扣3分，直至本项分值扣完为止。</w:t>
            </w:r>
          </w:p>
          <w:p>
            <w:pPr>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szCs w:val="21"/>
              </w:rPr>
              <w:t>（注：内容缺陷是指：内容非专门针对本项目或不适用项目特性的情形、套用其他项目方案、内容前后矛盾、涉及的规范及标准错误、不利于项目实施、不可能实现的情形等任意一种情形。）</w:t>
            </w:r>
          </w:p>
        </w:tc>
        <w:tc>
          <w:tcPr>
            <w:tcW w:w="1499" w:type="dxa"/>
            <w:vAlign w:val="center"/>
          </w:tcPr>
          <w:p>
            <w:pPr>
              <w:jc w:val="center"/>
              <w:rPr>
                <w:rFonts w:hint="eastAsia" w:ascii="仿宋" w:hAnsi="仿宋" w:eastAsia="仿宋"/>
                <w:szCs w:val="21"/>
              </w:rPr>
            </w:pPr>
            <w:r>
              <w:rPr>
                <w:rFonts w:hint="eastAsia" w:ascii="仿宋" w:hAnsi="仿宋" w:eastAsia="仿宋"/>
                <w:szCs w:val="21"/>
              </w:rPr>
              <w:t>技术类评分</w:t>
            </w:r>
          </w:p>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类似业绩</w:t>
            </w:r>
          </w:p>
          <w:p>
            <w:pPr>
              <w:jc w:val="center"/>
              <w:rPr>
                <w:color w:val="000000" w:themeColor="text1"/>
                <w14:textFill>
                  <w14:solidFill>
                    <w14:schemeClr w14:val="tx1"/>
                  </w14:solidFill>
                </w14:textFill>
              </w:rPr>
            </w:pPr>
            <w:r>
              <w:rPr>
                <w:rFonts w:hint="eastAsia" w:ascii="仿宋" w:hAnsi="仿宋" w:eastAsia="仿宋"/>
                <w:szCs w:val="21"/>
              </w:rPr>
              <w:t>10%</w:t>
            </w:r>
          </w:p>
        </w:tc>
        <w:tc>
          <w:tcPr>
            <w:tcW w:w="807"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lang w:eastAsia="zh-CN"/>
                <w14:textFill>
                  <w14:solidFill>
                    <w14:schemeClr w14:val="tx1"/>
                  </w14:solidFill>
                </w14:textFill>
              </w:rPr>
              <w:t>分</w:t>
            </w:r>
          </w:p>
        </w:tc>
        <w:tc>
          <w:tcPr>
            <w:tcW w:w="5650"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供应商自20</w:t>
            </w:r>
            <w:r>
              <w:rPr>
                <w:rFonts w:hint="eastAsia" w:ascii="仿宋" w:hAnsi="仿宋" w:eastAsia="仿宋"/>
                <w:color w:val="000000" w:themeColor="text1"/>
                <w:szCs w:val="21"/>
                <w:lang w:val="en-US" w:eastAsia="zh-CN"/>
                <w14:textFill>
                  <w14:solidFill>
                    <w14:schemeClr w14:val="tx1"/>
                  </w14:solidFill>
                </w14:textFill>
              </w:rPr>
              <w:t>21</w:t>
            </w:r>
            <w:r>
              <w:rPr>
                <w:rFonts w:hint="eastAsia" w:ascii="仿宋" w:hAnsi="仿宋" w:eastAsia="仿宋"/>
                <w:color w:val="000000" w:themeColor="text1"/>
                <w:szCs w:val="21"/>
                <w14:textFill>
                  <w14:solidFill>
                    <w14:schemeClr w14:val="tx1"/>
                  </w14:solidFill>
                </w14:textFill>
              </w:rPr>
              <w:t>年1月1日</w:t>
            </w:r>
            <w:r>
              <w:rPr>
                <w:rFonts w:hint="eastAsia" w:ascii="仿宋" w:hAnsi="仿宋" w:eastAsia="仿宋"/>
                <w:color w:val="000000" w:themeColor="text1"/>
                <w:szCs w:val="21"/>
                <w:lang w:val="en-US" w:eastAsia="zh-CN"/>
                <w14:textFill>
                  <w14:solidFill>
                    <w14:schemeClr w14:val="tx1"/>
                  </w14:solidFill>
                </w14:textFill>
              </w:rPr>
              <w:t>至递交响应文件截止日</w:t>
            </w:r>
            <w:r>
              <w:rPr>
                <w:rFonts w:hint="eastAsia" w:ascii="仿宋" w:hAnsi="仿宋" w:eastAsia="仿宋"/>
                <w:color w:val="000000" w:themeColor="text1"/>
                <w:szCs w:val="21"/>
                <w14:textFill>
                  <w14:solidFill>
                    <w14:schemeClr w14:val="tx1"/>
                  </w14:solidFill>
                </w14:textFill>
              </w:rPr>
              <w:t>具有</w:t>
            </w:r>
            <w:r>
              <w:rPr>
                <w:rFonts w:hint="eastAsia" w:ascii="仿宋" w:hAnsi="仿宋" w:eastAsia="仿宋"/>
                <w:color w:val="000000" w:themeColor="text1"/>
                <w:szCs w:val="21"/>
                <w:lang w:val="en-US" w:eastAsia="zh-CN"/>
                <w14:textFill>
                  <w14:solidFill>
                    <w14:schemeClr w14:val="tx1"/>
                  </w14:solidFill>
                </w14:textFill>
              </w:rPr>
              <w:t>类似</w:t>
            </w:r>
            <w:r>
              <w:rPr>
                <w:rFonts w:hint="eastAsia" w:ascii="仿宋" w:hAnsi="仿宋" w:eastAsia="仿宋"/>
                <w:color w:val="000000" w:themeColor="text1"/>
                <w:szCs w:val="21"/>
                <w14:textFill>
                  <w14:solidFill>
                    <w14:schemeClr w14:val="tx1"/>
                  </w14:solidFill>
                </w14:textFill>
              </w:rPr>
              <w:t>项目的业绩，每有一个得2分，最多得1</w:t>
            </w:r>
            <w:r>
              <w:rPr>
                <w:rFonts w:hint="eastAsia" w:ascii="仿宋" w:hAnsi="仿宋" w:eastAsia="仿宋"/>
                <w:color w:val="000000" w:themeColor="text1"/>
                <w:szCs w:val="21"/>
                <w:lang w:val="en-US" w:eastAsia="zh-CN"/>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注：需提供合同复印件</w:t>
            </w:r>
            <w:r>
              <w:rPr>
                <w:rFonts w:hint="eastAsia" w:ascii="仿宋" w:hAnsi="仿宋" w:eastAsia="仿宋"/>
                <w:color w:val="000000" w:themeColor="text1"/>
                <w:szCs w:val="21"/>
                <w:lang w:val="en-US" w:eastAsia="zh-CN"/>
                <w14:textFill>
                  <w14:solidFill>
                    <w14:schemeClr w14:val="tx1"/>
                  </w14:solidFill>
                </w14:textFill>
              </w:rPr>
              <w:t>或</w:t>
            </w:r>
            <w:r>
              <w:rPr>
                <w:rFonts w:hint="eastAsia" w:ascii="仿宋" w:hAnsi="仿宋" w:eastAsia="仿宋"/>
                <w:color w:val="000000" w:themeColor="text1"/>
                <w:szCs w:val="21"/>
                <w14:textFill>
                  <w14:solidFill>
                    <w14:schemeClr w14:val="tx1"/>
                  </w14:solidFill>
                </w14:textFill>
              </w:rPr>
              <w:t>中标通知书复印件，加盖供应商</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公章，不提供不得分。</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bl>
    <w:p>
      <w:pPr>
        <w:spacing w:line="360" w:lineRule="auto"/>
        <w:rPr>
          <w:rFonts w:ascii="Times New Roman" w:hAnsi="Times New Roman" w:eastAsia="仿宋" w:cs="Times New Roman"/>
          <w:sz w:val="24"/>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
      <w:pPr>
        <w:tabs>
          <w:tab w:val="left" w:pos="7665"/>
        </w:tabs>
        <w:spacing w:line="560" w:lineRule="exact"/>
        <w:jc w:val="center"/>
        <w:outlineLvl w:val="0"/>
        <w:rPr>
          <w:rFonts w:ascii="Times New Roman" w:hAnsi="Times New Roman" w:eastAsia="仿宋" w:cs="Times New Roman"/>
          <w:b/>
          <w:bCs/>
          <w:sz w:val="36"/>
          <w:szCs w:val="36"/>
        </w:rPr>
      </w:pPr>
      <w:bookmarkStart w:id="65"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5"/>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6" w:name="_Toc237145406"/>
      <w:bookmarkStart w:id="67" w:name="_Toc225670751"/>
      <w:bookmarkStart w:id="68" w:name="_Toc282696226"/>
      <w:bookmarkStart w:id="69" w:name="_Toc239233914"/>
      <w:bookmarkStart w:id="70" w:name="_Toc247334841"/>
      <w:bookmarkStart w:id="71" w:name="_Toc225654644"/>
      <w:bookmarkStart w:id="72" w:name="_Toc241833903"/>
      <w:bookmarkStart w:id="73" w:name="_Toc212019594"/>
      <w:bookmarkStart w:id="74" w:name="_Toc225244852"/>
      <w:bookmarkStart w:id="75" w:name="_Toc185395249"/>
      <w:bookmarkStart w:id="76" w:name="_Toc211854449"/>
      <w:bookmarkStart w:id="77" w:name="_Toc232492928"/>
      <w:bookmarkStart w:id="78" w:name="_Toc238984975"/>
      <w:bookmarkStart w:id="79" w:name="_Toc251768862"/>
      <w:bookmarkStart w:id="80" w:name="_Toc286993786"/>
      <w:bookmarkStart w:id="81" w:name="_Toc283019214"/>
      <w:bookmarkStart w:id="82" w:name="_Toc211911348"/>
      <w:bookmarkStart w:id="83" w:name="_Toc239568418"/>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spacing w:val="8"/>
          <w:sz w:val="24"/>
        </w:rPr>
      </w:pPr>
      <w:bookmarkStart w:id="84" w:name="_Toc211854454"/>
      <w:bookmarkStart w:id="85" w:name="_Toc211911353"/>
      <w:bookmarkStart w:id="86" w:name="_Toc237145411"/>
      <w:bookmarkStart w:id="87" w:name="_Toc232492933"/>
      <w:bookmarkStart w:id="88" w:name="_Toc238984980"/>
      <w:bookmarkStart w:id="89" w:name="_Toc286993792"/>
      <w:bookmarkStart w:id="90" w:name="_Toc225670756"/>
      <w:bookmarkStart w:id="91" w:name="_Toc225654649"/>
      <w:bookmarkStart w:id="92" w:name="_Toc239233919"/>
      <w:bookmarkStart w:id="93" w:name="_Toc241833908"/>
      <w:bookmarkStart w:id="94" w:name="_Toc247334846"/>
      <w:bookmarkStart w:id="95" w:name="_Toc212019599"/>
      <w:bookmarkStart w:id="96" w:name="_Toc239568423"/>
      <w:bookmarkStart w:id="97" w:name="_Toc225244857"/>
      <w:bookmarkStart w:id="98" w:name="_Toc185395254"/>
      <w:bookmarkStart w:id="99" w:name="_Toc251768867"/>
      <w:r>
        <w:rPr>
          <w:rFonts w:hint="eastAsia" w:ascii="仿宋" w:eastAsia="仿宋"/>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0" w:name="_Toc225244858"/>
      <w:bookmarkStart w:id="101" w:name="_Toc232492934"/>
      <w:bookmarkStart w:id="102" w:name="_Toc238984981"/>
      <w:bookmarkStart w:id="103" w:name="_Toc237145412"/>
      <w:bookmarkStart w:id="104" w:name="_Toc212019600"/>
      <w:bookmarkStart w:id="105" w:name="_Toc239568424"/>
      <w:bookmarkStart w:id="106" w:name="_Toc286993793"/>
      <w:bookmarkStart w:id="107" w:name="_Toc247334847"/>
      <w:bookmarkStart w:id="108" w:name="_Toc211854455"/>
      <w:bookmarkStart w:id="109" w:name="_Toc283019219"/>
      <w:bookmarkStart w:id="110" w:name="_Toc251768868"/>
      <w:bookmarkStart w:id="111" w:name="_Toc239233920"/>
      <w:bookmarkStart w:id="112" w:name="_Toc225670757"/>
      <w:bookmarkStart w:id="113" w:name="_Toc211911354"/>
      <w:bookmarkStart w:id="114" w:name="_Toc282696231"/>
      <w:bookmarkStart w:id="115" w:name="_Toc225654650"/>
      <w:bookmarkStart w:id="116" w:name="_Toc185395255"/>
      <w:bookmarkStart w:id="117" w:name="_Toc241833909"/>
      <w:r>
        <w:rPr>
          <w:rFonts w:hint="eastAsia" w:ascii="仿宋" w:eastAsia="仿宋"/>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7"/>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8" w:name="_Toc349810624"/>
      <w:bookmarkStart w:id="119" w:name="_Toc350864527"/>
    </w:p>
    <w:bookmarkEnd w:id="118"/>
    <w:bookmarkEnd w:id="119"/>
    <w:p>
      <w:pPr>
        <w:pStyle w:val="3"/>
        <w:keepNext w:val="0"/>
        <w:keepLines w:val="0"/>
        <w:spacing w:before="0" w:after="0" w:line="400" w:lineRule="exact"/>
        <w:jc w:val="center"/>
        <w:rPr>
          <w:rFonts w:ascii="仿宋" w:eastAsia="仿宋"/>
        </w:rPr>
      </w:pPr>
    </w:p>
    <w:p>
      <w:pPr>
        <w:spacing w:line="401" w:lineRule="auto"/>
        <w:jc w:val="left"/>
        <w:rPr>
          <w:rFonts w:ascii="Times New Roman" w:hAnsi="Times New Roman" w:eastAsia="仿宋" w:cs="Times New Roman"/>
          <w:b/>
          <w:sz w:val="32"/>
        </w:rPr>
      </w:pPr>
      <w:r>
        <w:rPr>
          <w:rFonts w:ascii="Times New Roman" w:hAnsi="Times New Roman" w:eastAsia="仿宋" w:cs="Times New Roman"/>
        </w:rPr>
        <w:t xml:space="preserve"> </w:t>
      </w:r>
      <w:bookmarkStart w:id="120" w:name="_Toc7369"/>
      <w:bookmarkStart w:id="121" w:name="_Toc112053985"/>
      <w:r>
        <w:rPr>
          <w:rFonts w:ascii="Times New Roman" w:hAnsi="Times New Roman" w:eastAsia="仿宋" w:cs="Times New Roman"/>
          <w:b/>
          <w:sz w:val="32"/>
        </w:rPr>
        <w:t>附件</w:t>
      </w:r>
      <w:bookmarkEnd w:id="120"/>
      <w:r>
        <w:rPr>
          <w:rFonts w:hint="eastAsia" w:ascii="Times New Roman" w:hAnsi="Times New Roman" w:eastAsia="仿宋" w:cs="Times New Roman"/>
          <w:b/>
          <w:sz w:val="32"/>
        </w:rPr>
        <w:t>1</w:t>
      </w:r>
      <w:bookmarkEnd w:id="121"/>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lang w:eastAsia="zh-CN"/>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w:t>
            </w:r>
            <w:r>
              <w:rPr>
                <w:rFonts w:hint="eastAsia" w:ascii="仿宋" w:eastAsia="仿宋"/>
                <w:sz w:val="24"/>
                <w:lang w:eastAsia="zh-CN"/>
              </w:rPr>
              <w:t>万元</w:t>
            </w:r>
            <w:r>
              <w:rPr>
                <w:rFonts w:hint="eastAsia" w:asci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eastAsia="zh-CN"/>
              </w:rPr>
              <w:t>万元</w:t>
            </w:r>
            <w:r>
              <w:rPr>
                <w:rFonts w:hint="eastAsia" w:ascii="仿宋" w:eastAsia="仿宋"/>
                <w:b/>
                <w:sz w:val="24"/>
              </w:rPr>
              <w:t>）</w:t>
            </w:r>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BAC967-5A57-4586-99CE-321B56294F96}"/>
  </w:font>
  <w:font w:name="Courier New">
    <w:panose1 w:val="02070309020205020404"/>
    <w:charset w:val="01"/>
    <w:family w:val="modern"/>
    <w:pitch w:val="default"/>
    <w:sig w:usb0="E0002EFF" w:usb1="C0007843" w:usb2="00000009" w:usb3="00000000" w:csb0="400001FF" w:csb1="FFFF0000"/>
    <w:embedRegular r:id="rId2" w:fontKey="{30C315A1-BB05-413B-A5AB-6E58DA7806D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3" w:fontKey="{05663FC7-FFE1-456B-ABEC-83692745A9AE}"/>
  </w:font>
  <w:font w:name="方正黑体_GBK">
    <w:panose1 w:val="03000509000000000000"/>
    <w:charset w:val="86"/>
    <w:family w:val="script"/>
    <w:pitch w:val="default"/>
    <w:sig w:usb0="00000001" w:usb1="080E0000" w:usb2="00000000" w:usb3="00000000" w:csb0="00040000" w:csb1="00000000"/>
    <w:embedRegular r:id="rId4" w:fontKey="{AEC706D7-DC14-4734-BBB2-9B63822A646C}"/>
  </w:font>
  <w:font w:name="仿宋">
    <w:panose1 w:val="02010609060101010101"/>
    <w:charset w:val="86"/>
    <w:family w:val="modern"/>
    <w:pitch w:val="default"/>
    <w:sig w:usb0="800002BF" w:usb1="38CF7CFA" w:usb2="00000016" w:usb3="00000000" w:csb0="00040001" w:csb1="00000000"/>
    <w:embedRegular r:id="rId5" w:fontKey="{9CE6503C-71B2-4CF6-869B-1C2B00EBE6A2}"/>
  </w:font>
  <w:font w:name="MS Gothic">
    <w:panose1 w:val="020B0609070205080204"/>
    <w:charset w:val="80"/>
    <w:family w:val="modern"/>
    <w:pitch w:val="default"/>
    <w:sig w:usb0="E00002FF" w:usb1="6AC7FDFB" w:usb2="08000012" w:usb3="00000000" w:csb0="4002009F" w:csb1="DFD70000"/>
    <w:embedRegular r:id="rId6" w:fontKey="{92592287-D6D4-49D2-83AC-F7DB5CAAE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B82AC"/>
    <w:multiLevelType w:val="singleLevel"/>
    <w:tmpl w:val="061B82A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NlYWI2ZDQwY2ZmMTJmMmIwMDM3MmZlMTA4MzNlOTA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8C63C3E"/>
    <w:rsid w:val="0B5A3215"/>
    <w:rsid w:val="0B844E71"/>
    <w:rsid w:val="0D89049E"/>
    <w:rsid w:val="14902DA1"/>
    <w:rsid w:val="17404CB7"/>
    <w:rsid w:val="17A46E38"/>
    <w:rsid w:val="1ED70C26"/>
    <w:rsid w:val="22117CF3"/>
    <w:rsid w:val="236D7E2A"/>
    <w:rsid w:val="23CB4EC6"/>
    <w:rsid w:val="294E1735"/>
    <w:rsid w:val="2E7D64D4"/>
    <w:rsid w:val="303074FD"/>
    <w:rsid w:val="35B5140A"/>
    <w:rsid w:val="3A0A1C14"/>
    <w:rsid w:val="3ADC2B91"/>
    <w:rsid w:val="3CE05C75"/>
    <w:rsid w:val="421E6786"/>
    <w:rsid w:val="47F05C1F"/>
    <w:rsid w:val="4E132EFB"/>
    <w:rsid w:val="5268280B"/>
    <w:rsid w:val="52CE22F3"/>
    <w:rsid w:val="59C603E9"/>
    <w:rsid w:val="5A6479A2"/>
    <w:rsid w:val="5B0D3D84"/>
    <w:rsid w:val="650258C5"/>
    <w:rsid w:val="76F1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ind w:firstLine="630"/>
    </w:pPr>
    <w:rPr>
      <w:sz w:val="32"/>
      <w:szCs w:val="20"/>
    </w:rPr>
  </w:style>
  <w:style w:type="paragraph" w:styleId="9">
    <w:name w:val="index 4"/>
    <w:basedOn w:val="1"/>
    <w:next w:val="1"/>
    <w:autoRedefine/>
    <w:qFormat/>
    <w:uiPriority w:val="99"/>
    <w:pPr>
      <w:ind w:left="600" w:leftChars="600"/>
    </w:pPr>
    <w:rPr>
      <w:rFonts w:ascii="Verdana" w:hAnsi="Verdana"/>
      <w:szCs w:val="20"/>
    </w:rPr>
  </w:style>
  <w:style w:type="paragraph" w:styleId="10">
    <w:name w:val="Plain Text"/>
    <w:basedOn w:val="1"/>
    <w:autoRedefine/>
    <w:qFormat/>
    <w:uiPriority w:val="0"/>
    <w:pPr>
      <w:autoSpaceDE w:val="0"/>
      <w:autoSpaceDN w:val="0"/>
      <w:adjustRightInd w:val="0"/>
    </w:pPr>
    <w:rPr>
      <w:rFonts w:ascii="宋体"/>
    </w:rPr>
  </w:style>
  <w:style w:type="paragraph" w:styleId="11">
    <w:name w:val="Body Text Indent 2"/>
    <w:basedOn w:val="1"/>
    <w:autoRedefine/>
    <w:qFormat/>
    <w:uiPriority w:val="0"/>
    <w:pPr>
      <w:spacing w:after="120" w:line="480" w:lineRule="auto"/>
      <w:ind w:left="20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autoRedefine/>
    <w:qFormat/>
    <w:uiPriority w:val="0"/>
  </w:style>
  <w:style w:type="paragraph" w:styleId="15">
    <w:name w:val="Normal (Web)"/>
    <w:basedOn w:val="1"/>
    <w:autoRedefine/>
    <w:qFormat/>
    <w:uiPriority w:val="0"/>
    <w:pPr>
      <w:widowControl/>
      <w:spacing w:before="100" w:beforeAutospacing="1" w:after="100" w:afterAutospacing="1"/>
      <w:jc w:val="left"/>
    </w:pPr>
    <w:rPr>
      <w:rFonts w:ascii="宋体"/>
      <w:sz w:val="18"/>
      <w:szCs w:val="18"/>
    </w:rPr>
  </w:style>
  <w:style w:type="paragraph" w:styleId="16">
    <w:name w:val="Title"/>
    <w:basedOn w:val="1"/>
    <w:next w:val="1"/>
    <w:autoRedefine/>
    <w:qFormat/>
    <w:uiPriority w:val="10"/>
    <w:pPr>
      <w:spacing w:before="240" w:after="60"/>
      <w:jc w:val="center"/>
      <w:outlineLvl w:val="0"/>
    </w:pPr>
    <w:rPr>
      <w:rFonts w:ascii="Cambria" w:hAnsi="Cambria" w:cs="Times New Roman"/>
      <w:b/>
      <w:bCs/>
      <w:sz w:val="32"/>
      <w:szCs w:val="32"/>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样式3"/>
    <w:basedOn w:val="24"/>
    <w:autoRedefine/>
    <w:qFormat/>
    <w:uiPriority w:val="0"/>
    <w:pPr>
      <w:tabs>
        <w:tab w:val="left" w:pos="6351"/>
      </w:tabs>
    </w:pPr>
    <w:rPr>
      <w:sz w:val="28"/>
      <w:szCs w:val="28"/>
    </w:rPr>
  </w:style>
  <w:style w:type="paragraph" w:customStyle="1" w:styleId="24">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5">
    <w:name w:val="WPSOffice手动目录 1"/>
    <w:autoRedefine/>
    <w:qFormat/>
    <w:uiPriority w:val="0"/>
    <w:rPr>
      <w:rFonts w:ascii="Calibri" w:hAnsi="Calibri" w:eastAsia="宋体" w:cs="Arial"/>
      <w:lang w:val="en-US" w:eastAsia="zh-CN" w:bidi="ar-SA"/>
    </w:rPr>
  </w:style>
  <w:style w:type="paragraph" w:customStyle="1" w:styleId="26">
    <w:name w:val="正文首行缩进两字符"/>
    <w:basedOn w:val="1"/>
    <w:autoRedefine/>
    <w:qFormat/>
    <w:uiPriority w:val="0"/>
    <w:pPr>
      <w:spacing w:line="360" w:lineRule="auto"/>
      <w:ind w:firstLine="200" w:firstLineChars="200"/>
    </w:pPr>
  </w:style>
  <w:style w:type="paragraph" w:customStyle="1" w:styleId="27">
    <w:name w:val="列出段落1"/>
    <w:basedOn w:val="1"/>
    <w:autoRedefine/>
    <w:qFormat/>
    <w:uiPriority w:val="0"/>
    <w:pPr>
      <w:ind w:firstLine="200" w:firstLineChars="200"/>
    </w:pPr>
  </w:style>
  <w:style w:type="paragraph" w:customStyle="1" w:styleId="28">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Default"/>
    <w:next w:val="3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styleId="33">
    <w:name w:val="List Paragraph"/>
    <w:basedOn w:val="1"/>
    <w:autoRedefine/>
    <w:qFormat/>
    <w:uiPriority w:val="0"/>
    <w:pPr>
      <w:ind w:firstLine="200" w:firstLineChars="200"/>
    </w:pPr>
  </w:style>
  <w:style w:type="character" w:customStyle="1" w:styleId="34">
    <w:name w:val="font21"/>
    <w:basedOn w:val="19"/>
    <w:autoRedefine/>
    <w:qFormat/>
    <w:uiPriority w:val="0"/>
    <w:rPr>
      <w:rFonts w:ascii="方正仿宋_GBK" w:hAnsi="方正仿宋_GBK" w:eastAsia="方正仿宋_GBK" w:cs="方正仿宋_GBK"/>
      <w:color w:val="000000"/>
      <w:sz w:val="22"/>
      <w:szCs w:val="22"/>
      <w:u w:val="none"/>
    </w:rPr>
  </w:style>
  <w:style w:type="character" w:customStyle="1" w:styleId="35">
    <w:name w:val="font11"/>
    <w:basedOn w:val="19"/>
    <w:autoRedefine/>
    <w:qFormat/>
    <w:uiPriority w:val="0"/>
    <w:rPr>
      <w:rFonts w:hint="default" w:ascii="Times New Roman" w:hAnsi="Times New Roman" w:cs="Times New Roman"/>
      <w:color w:val="000000"/>
      <w:sz w:val="22"/>
      <w:szCs w:val="22"/>
      <w:u w:val="none"/>
    </w:rPr>
  </w:style>
  <w:style w:type="character" w:customStyle="1" w:styleId="36">
    <w:name w:val="font31"/>
    <w:basedOn w:val="19"/>
    <w:autoRedefine/>
    <w:qFormat/>
    <w:uiPriority w:val="0"/>
    <w:rPr>
      <w:rFonts w:hint="eastAsia" w:ascii="方正仿宋_GBK" w:hAnsi="方正仿宋_GBK" w:eastAsia="方正仿宋_GBK" w:cs="方正仿宋_GBK"/>
      <w:color w:val="000000"/>
      <w:sz w:val="28"/>
      <w:szCs w:val="28"/>
      <w:u w:val="none"/>
    </w:rPr>
  </w:style>
  <w:style w:type="paragraph" w:customStyle="1" w:styleId="3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27158</Words>
  <Characters>28361</Characters>
  <Lines>218</Lines>
  <Paragraphs>61</Paragraphs>
  <TotalTime>6</TotalTime>
  <ScaleCrop>false</ScaleCrop>
  <LinksUpToDate>false</LinksUpToDate>
  <CharactersWithSpaces>28922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2024-05-08T02:31:00Z</cp:lastPrinted>
  <dcterms:modified xsi:type="dcterms:W3CDTF">2024-05-25T07:25:54Z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C9E5A232F0194A49886183699DD592EF_13</vt:lpwstr>
  </property>
</Properties>
</file>