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30"/>
        </w:rPr>
      </w:pPr>
    </w:p>
    <w:p>
      <w:pPr>
        <w:jc w:val="center"/>
        <w:rPr>
          <w:rFonts w:ascii="黑体" w:eastAsia="黑体"/>
          <w:color w:val="auto"/>
          <w:sz w:val="30"/>
          <w:szCs w:val="30"/>
        </w:rPr>
      </w:pPr>
      <w:r>
        <w:rPr>
          <w:rFonts w:hint="eastAsia" w:ascii="Times New Roman" w:hAnsi="Times New Roman" w:eastAsia="黑体" w:cs="Times New Roman"/>
          <w:color w:val="auto"/>
          <w:sz w:val="30"/>
          <w:lang w:val="en-US" w:eastAsia="zh-CN"/>
        </w:rPr>
        <w:t>项目</w:t>
      </w:r>
      <w:r>
        <w:rPr>
          <w:rFonts w:ascii="Times New Roman" w:hAnsi="Times New Roman" w:eastAsia="黑体" w:cs="Times New Roman"/>
          <w:color w:val="auto"/>
          <w:sz w:val="30"/>
        </w:rPr>
        <w:t>编号：</w:t>
      </w:r>
      <w:r>
        <w:rPr>
          <w:rFonts w:hint="eastAsia" w:ascii="黑体" w:eastAsia="黑体"/>
          <w:color w:val="auto"/>
          <w:sz w:val="30"/>
          <w:szCs w:val="30"/>
        </w:rPr>
        <w:t>九管局采磋</w:t>
      </w:r>
      <w:r>
        <w:rPr>
          <w:rFonts w:hint="eastAsia" w:ascii="微软雅黑" w:hAnsi="微软雅黑" w:eastAsia="微软雅黑" w:cs="微软雅黑"/>
          <w:b w:val="0"/>
          <w:bCs/>
          <w:color w:val="auto"/>
          <w:sz w:val="30"/>
          <w:szCs w:val="30"/>
          <w:lang w:eastAsia="zh-CN"/>
        </w:rPr>
        <w:t>〔</w:t>
      </w:r>
      <w:r>
        <w:rPr>
          <w:rFonts w:hint="default" w:ascii="Times New Roman" w:hAnsi="Times New Roman" w:cs="Times New Roman"/>
          <w:b w:val="0"/>
          <w:bCs/>
          <w:color w:val="auto"/>
          <w:sz w:val="30"/>
          <w:szCs w:val="30"/>
        </w:rPr>
        <w:t>20</w:t>
      </w:r>
      <w:r>
        <w:rPr>
          <w:rFonts w:ascii="Times New Roman" w:hAnsi="Times New Roman" w:cs="Times New Roman"/>
          <w:b w:val="0"/>
          <w:bCs/>
          <w:color w:val="auto"/>
          <w:sz w:val="30"/>
          <w:szCs w:val="30"/>
        </w:rPr>
        <w:t>2</w:t>
      </w:r>
      <w:r>
        <w:rPr>
          <w:rFonts w:hint="default" w:ascii="Times New Roman" w:hAnsi="Times New Roman" w:cs="Times New Roman"/>
          <w:b w:val="0"/>
          <w:bCs/>
          <w:color w:val="auto"/>
          <w:sz w:val="30"/>
          <w:szCs w:val="30"/>
        </w:rPr>
        <w:t>4</w:t>
      </w:r>
      <w:r>
        <w:rPr>
          <w:rFonts w:hint="eastAsia" w:ascii="微软雅黑" w:hAnsi="微软雅黑" w:eastAsia="微软雅黑" w:cs="微软雅黑"/>
          <w:b w:val="0"/>
          <w:bCs/>
          <w:color w:val="auto"/>
          <w:sz w:val="30"/>
          <w:szCs w:val="30"/>
          <w:lang w:eastAsia="zh-CN"/>
        </w:rPr>
        <w:t>〕</w:t>
      </w:r>
      <w:r>
        <w:rPr>
          <w:rFonts w:hint="eastAsia" w:ascii="Times New Roman" w:hAnsi="Times New Roman" w:cs="Times New Roman"/>
          <w:b w:val="0"/>
          <w:bCs/>
          <w:color w:val="auto"/>
          <w:sz w:val="30"/>
          <w:szCs w:val="30"/>
          <w:lang w:val="en-US" w:eastAsia="zh-CN"/>
        </w:rPr>
        <w:t>29</w:t>
      </w:r>
      <w:r>
        <w:rPr>
          <w:rFonts w:hint="eastAsia" w:ascii="宋体"/>
          <w:b/>
          <w:color w:val="auto"/>
          <w:sz w:val="30"/>
          <w:szCs w:val="30"/>
        </w:rPr>
        <w:t>号</w:t>
      </w:r>
    </w:p>
    <w:p>
      <w:pPr>
        <w:jc w:val="center"/>
        <w:rPr>
          <w:rFonts w:ascii="Times New Roman" w:hAnsi="Times New Roman" w:eastAsia="黑体" w:cs="Times New Roman"/>
          <w:color w:val="auto"/>
          <w:sz w:val="30"/>
        </w:rPr>
      </w:pPr>
    </w:p>
    <w:p>
      <w:pP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44"/>
          <w:szCs w:val="44"/>
          <w:lang w:val="en-US"/>
        </w:rPr>
      </w:pPr>
      <w:r>
        <w:rPr>
          <w:rFonts w:hint="eastAsia" w:ascii="Times New Roman" w:hAnsi="Times New Roman" w:eastAsia="黑体" w:cs="Times New Roman"/>
          <w:color w:val="auto"/>
          <w:sz w:val="44"/>
          <w:szCs w:val="44"/>
        </w:rPr>
        <w:t>九寨沟</w:t>
      </w:r>
      <w:r>
        <w:rPr>
          <w:rFonts w:hint="eastAsia" w:ascii="Times New Roman" w:hAnsi="Times New Roman" w:eastAsia="黑体" w:cs="Times New Roman"/>
          <w:color w:val="auto"/>
          <w:sz w:val="44"/>
          <w:szCs w:val="44"/>
          <w:lang w:val="en-US" w:eastAsia="zh-CN"/>
        </w:rPr>
        <w:t>风景名胜区管理局</w:t>
      </w:r>
    </w:p>
    <w:p>
      <w:pPr>
        <w:spacing w:line="180" w:lineRule="atLeast"/>
        <w:jc w:val="center"/>
        <w:rPr>
          <w:rFonts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lang w:val="en-US" w:eastAsia="zh-CN"/>
        </w:rPr>
        <w:t>发电机维护保养服务</w:t>
      </w:r>
      <w:r>
        <w:rPr>
          <w:rFonts w:hint="eastAsia" w:ascii="Times New Roman" w:hAnsi="Times New Roman" w:eastAsia="黑体" w:cs="Times New Roman"/>
          <w:color w:val="auto"/>
          <w:sz w:val="44"/>
          <w:szCs w:val="44"/>
        </w:rPr>
        <w:t>采购项目</w:t>
      </w:r>
    </w:p>
    <w:p>
      <w:pPr>
        <w:spacing w:line="180" w:lineRule="atLeast"/>
        <w:jc w:val="cente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pPr>
        <w:spacing w:line="360" w:lineRule="auto"/>
        <w:jc w:val="center"/>
        <w:rPr>
          <w:rFonts w:ascii="Times New Roman" w:hAnsi="Times New Roman" w:eastAsia="黑体" w:cs="Times New Roman"/>
          <w:color w:val="auto"/>
          <w:sz w:val="32"/>
        </w:rPr>
      </w:pPr>
    </w:p>
    <w:p>
      <w:pPr>
        <w:spacing w:line="360" w:lineRule="auto"/>
        <w:jc w:val="center"/>
        <w:rPr>
          <w:rFonts w:ascii="仿宋" w:eastAsia="仿宋"/>
          <w:b/>
          <w:color w:val="auto"/>
          <w:sz w:val="32"/>
          <w:szCs w:val="32"/>
        </w:rPr>
      </w:pPr>
      <w:bookmarkStart w:id="0" w:name="PO_采购人_1"/>
      <w:r>
        <w:rPr>
          <w:rFonts w:hint="eastAsia" w:ascii="仿宋" w:eastAsia="仿宋"/>
          <w:b/>
          <w:color w:val="auto"/>
          <w:sz w:val="32"/>
          <w:szCs w:val="32"/>
        </w:rPr>
        <w:t>九寨沟风景名胜区管理局</w:t>
      </w:r>
      <w:bookmarkEnd w:id="0"/>
      <w:r>
        <w:rPr>
          <w:rFonts w:hint="eastAsia" w:ascii="仿宋" w:eastAsia="仿宋"/>
          <w:b/>
          <w:color w:val="auto"/>
          <w:sz w:val="30"/>
          <w:szCs w:val="30"/>
        </w:rPr>
        <w:t xml:space="preserve"> </w:t>
      </w:r>
      <w:r>
        <w:rPr>
          <w:rFonts w:hint="eastAsia" w:ascii="仿宋" w:eastAsia="仿宋"/>
          <w:b/>
          <w:color w:val="auto"/>
          <w:sz w:val="32"/>
          <w:szCs w:val="32"/>
        </w:rPr>
        <w:t>编制</w:t>
      </w:r>
    </w:p>
    <w:p>
      <w:pPr>
        <w:spacing w:line="360" w:lineRule="auto"/>
        <w:jc w:val="center"/>
        <w:rPr>
          <w:rFonts w:ascii="仿宋" w:eastAsia="仿宋"/>
          <w:b/>
          <w:bCs/>
          <w:color w:val="auto"/>
          <w:sz w:val="32"/>
          <w:szCs w:val="32"/>
        </w:rPr>
      </w:pPr>
      <w:r>
        <w:rPr>
          <w:rFonts w:hint="eastAsia" w:ascii="仿宋" w:eastAsia="仿宋"/>
          <w:b/>
          <w:bCs/>
          <w:color w:val="auto"/>
          <w:sz w:val="32"/>
          <w:szCs w:val="32"/>
        </w:rPr>
        <w:t>2</w:t>
      </w:r>
      <w:r>
        <w:rPr>
          <w:rFonts w:ascii="仿宋" w:eastAsia="仿宋"/>
          <w:b/>
          <w:bCs/>
          <w:color w:val="auto"/>
          <w:sz w:val="32"/>
          <w:szCs w:val="32"/>
        </w:rPr>
        <w:t>02</w:t>
      </w:r>
      <w:r>
        <w:rPr>
          <w:rFonts w:hint="eastAsia" w:ascii="仿宋" w:eastAsia="仿宋"/>
          <w:b/>
          <w:bCs/>
          <w:color w:val="auto"/>
          <w:sz w:val="32"/>
          <w:szCs w:val="32"/>
        </w:rPr>
        <w:t>4年</w:t>
      </w:r>
      <w:r>
        <w:rPr>
          <w:rFonts w:hint="eastAsia" w:ascii="仿宋" w:eastAsia="仿宋"/>
          <w:b/>
          <w:bCs/>
          <w:color w:val="auto"/>
          <w:sz w:val="32"/>
          <w:szCs w:val="32"/>
          <w:lang w:val="en-US" w:eastAsia="zh-CN"/>
        </w:rPr>
        <w:t>7</w:t>
      </w:r>
      <w:r>
        <w:rPr>
          <w:rFonts w:hint="eastAsia" w:ascii="仿宋" w:eastAsia="仿宋"/>
          <w:b/>
          <w:bCs/>
          <w:color w:val="auto"/>
          <w:sz w:val="32"/>
          <w:szCs w:val="32"/>
        </w:rPr>
        <w:t>月</w:t>
      </w:r>
    </w:p>
    <w:p>
      <w:pPr>
        <w:pStyle w:val="4"/>
        <w:spacing w:before="0" w:after="0" w:line="240" w:lineRule="auto"/>
        <w:rPr>
          <w:rFonts w:ascii="仿宋" w:eastAsia="仿宋"/>
          <w:color w:val="auto"/>
        </w:rPr>
      </w:pPr>
    </w:p>
    <w:p>
      <w:pPr>
        <w:pStyle w:val="4"/>
        <w:spacing w:before="0" w:after="0" w:line="240" w:lineRule="auto"/>
        <w:rPr>
          <w:rFonts w:ascii="仿宋" w:eastAsia="仿宋"/>
          <w:color w:val="auto"/>
        </w:rPr>
      </w:pPr>
    </w:p>
    <w:p>
      <w:pPr>
        <w:pStyle w:val="4"/>
        <w:spacing w:before="0" w:after="0" w:line="360" w:lineRule="auto"/>
        <w:rPr>
          <w:rFonts w:ascii="仿宋" w:eastAsia="仿宋"/>
          <w:color w:val="auto"/>
        </w:rPr>
      </w:pPr>
      <w:bookmarkStart w:id="133" w:name="_GoBack"/>
      <w:bookmarkEnd w:id="133"/>
    </w:p>
    <w:p>
      <w:pPr>
        <w:pStyle w:val="4"/>
        <w:rPr>
          <w:color w:val="auto"/>
        </w:rPr>
        <w:sectPr>
          <w:footerReference r:id="rId5" w:type="first"/>
          <w:footerReference r:id="rId3" w:type="default"/>
          <w:footerReference r:id="rId4" w:type="even"/>
          <w:pgSz w:w="11907" w:h="16840"/>
          <w:pgMar w:top="1440" w:right="1800" w:bottom="1440" w:left="1800" w:header="851" w:footer="992" w:gutter="0"/>
          <w:pgNumType w:fmt="decimal" w:start="1"/>
          <w:cols w:space="720" w:num="1"/>
          <w:titlePg/>
          <w:docGrid w:linePitch="312" w:charSpace="0"/>
        </w:sectPr>
      </w:pPr>
    </w:p>
    <w:p>
      <w:pPr>
        <w:jc w:val="center"/>
        <w:rPr>
          <w:rFonts w:ascii="Times New Roman" w:hAnsi="Times New Roman" w:cs="Times New Roman"/>
          <w:color w:val="auto"/>
        </w:rPr>
      </w:pPr>
    </w:p>
    <w:p>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pPr>
        <w:jc w:val="center"/>
        <w:rPr>
          <w:rFonts w:ascii="Times New Roman" w:hAnsi="Times New Roman" w:cs="Times New Roman"/>
          <w:color w:val="auto"/>
          <w:sz w:val="44"/>
          <w:szCs w:val="48"/>
        </w:rPr>
      </w:pP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TOC \o "1-1" \h \u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"_Toc112053976"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第一章  磋商邀请</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_Toc112053976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1</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"_Toc112053977"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第二章  磋商须知</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_Toc112053977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3</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"_Toc112053978"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第三章  供应商和报价产品的资格及其他类似效力要求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_Toc112053978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14</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"_Toc112053979"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第四章  供应商应当提供的资格及其他类似效力要求的相关证明材料</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_Toc112053979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"_Toc112053980"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第五章  采购项目技术、服务、采购合同内容条款及其他商务要求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_Toc112053980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17</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"_Toc112053981"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第六章  磋商内容、磋商过程中可实质性变动的内容</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30</w:t>
      </w:r>
    </w:p>
    <w:p>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"_Toc112053982"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第七章  响应文件格式</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31</w:t>
      </w:r>
    </w:p>
    <w:p>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"_Toc112053983"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第八章  评审方法</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47</w:t>
      </w:r>
    </w:p>
    <w:p>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"_Toc112053984"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第九章  采购合同（服务类）</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lang w:val="en-US" w:eastAsia="zh-CN"/>
        </w:rPr>
        <w:t>58</w:t>
      </w:r>
      <w:r>
        <w:rPr>
          <w:rFonts w:hint="eastAsia" w:ascii="Times New Roman" w:hAnsi="Times New Roman" w:eastAsia="仿宋" w:cs="Times New Roman"/>
          <w:b/>
          <w:color w:val="auto"/>
          <w:sz w:val="24"/>
          <w:szCs w:val="28"/>
        </w:rPr>
        <w:fldChar w:fldCharType="end"/>
      </w:r>
    </w:p>
    <w:p>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"_Toc112053985"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附件</w:t>
      </w:r>
      <w:r>
        <w:rPr>
          <w:rFonts w:hint="eastAsia" w:ascii="Times New Roman" w:hAnsi="Times New Roman" w:eastAsia="仿宋" w:cs="Times New Roman"/>
          <w:b/>
          <w:color w:val="auto"/>
          <w:sz w:val="24"/>
          <w:szCs w:val="28"/>
        </w:rPr>
        <w:t xml:space="preserve">  报价一览表（服务类）</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62</w:t>
      </w:r>
    </w:p>
    <w:p>
      <w:pPr>
        <w:pStyle w:val="18"/>
        <w:tabs>
          <w:tab w:val="right" w:leader="dot" w:pos="8296"/>
        </w:tabs>
        <w:spacing w:line="560" w:lineRule="exact"/>
        <w:rPr>
          <w:rFonts w:hint="eastAsia" w:ascii="Times New Roman" w:hAnsi="Times New Roman" w:eastAsia="仿宋" w:cs="Times New Roman"/>
          <w:b/>
          <w:color w:val="auto"/>
          <w:sz w:val="24"/>
          <w:szCs w:val="28"/>
          <w:lang w:val="en-US" w:eastAsia="zh-CN"/>
        </w:rPr>
      </w:pPr>
    </w:p>
    <w:p>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end"/>
      </w:r>
    </w:p>
    <w:p>
      <w:pPr>
        <w:rPr>
          <w:rFonts w:ascii="Times New Roman" w:hAnsi="Times New Roman" w:eastAsia="仿宋" w:cs="Times New Roman"/>
          <w:color w:val="auto"/>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outlineLvl w:val="0"/>
        <w:rPr>
          <w:rFonts w:ascii="Times New Roman" w:hAnsi="Times New Roman" w:eastAsia="仿宋" w:cs="Times New Roman"/>
          <w:b/>
          <w:color w:val="auto"/>
          <w:sz w:val="32"/>
        </w:rPr>
        <w:sectPr>
          <w:footerReference r:id="rId6" w:type="default"/>
          <w:pgSz w:w="11906" w:h="16838"/>
          <w:pgMar w:top="1440" w:right="1800" w:bottom="1440" w:left="1800" w:header="720" w:footer="720" w:gutter="0"/>
          <w:pgNumType w:fmt="decimal" w:start="1"/>
          <w:cols w:space="720" w:num="1"/>
          <w:docGrid w:type="lines" w:linePitch="312" w:charSpace="0"/>
        </w:sectPr>
      </w:pPr>
    </w:p>
    <w:p>
      <w:pPr>
        <w:spacing w:before="240" w:after="60"/>
        <w:jc w:val="center"/>
        <w:outlineLvl w:val="0"/>
        <w:rPr>
          <w:rFonts w:ascii="Times New Roman" w:hAnsi="Times New Roman" w:eastAsia="仿宋" w:cs="Times New Roman"/>
          <w:color w:val="auto"/>
          <w:sz w:val="36"/>
          <w:szCs w:val="36"/>
        </w:rPr>
      </w:pPr>
      <w:bookmarkStart w:id="1" w:name="_Toc112053976"/>
      <w:r>
        <w:rPr>
          <w:rFonts w:ascii="Times New Roman" w:hAnsi="Times New Roman" w:eastAsia="仿宋" w:cs="Times New Roman"/>
          <w:b/>
          <w:color w:val="auto"/>
          <w:sz w:val="36"/>
          <w:szCs w:val="36"/>
        </w:rPr>
        <w:t>第一章  磋商邀请</w:t>
      </w:r>
      <w:bookmarkEnd w:id="1"/>
    </w:p>
    <w:p>
      <w:pPr>
        <w:spacing w:line="560" w:lineRule="exact"/>
        <w:ind w:firstLine="482"/>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九寨沟</w:t>
      </w:r>
      <w:r>
        <w:rPr>
          <w:rFonts w:hint="eastAsia" w:ascii="Times New Roman" w:hAnsi="Times New Roman" w:eastAsia="方正仿宋_GBK" w:cs="Times New Roman"/>
          <w:color w:val="auto"/>
          <w:sz w:val="24"/>
        </w:rPr>
        <w:t>风景名胜区</w:t>
      </w:r>
      <w:r>
        <w:rPr>
          <w:rFonts w:ascii="Times New Roman" w:hAnsi="Times New Roman" w:eastAsia="方正仿宋_GBK" w:cs="Times New Roman"/>
          <w:color w:val="auto"/>
          <w:sz w:val="24"/>
        </w:rPr>
        <w:t>管理局拟对</w:t>
      </w:r>
      <w:r>
        <w:rPr>
          <w:rFonts w:hint="default" w:ascii="Times New Roman" w:hAnsi="Times New Roman" w:eastAsia="方正仿宋_GBK" w:cs="Times New Roman"/>
          <w:color w:val="auto"/>
          <w:sz w:val="24"/>
          <w:highlight w:val="none"/>
          <w:u w:val="single"/>
          <w:lang w:val="en-US" w:eastAsia="zh-CN"/>
        </w:rPr>
        <w:t>九寨沟风景名胜区管理局</w:t>
      </w:r>
      <w:r>
        <w:rPr>
          <w:rFonts w:hint="eastAsia" w:ascii="Times New Roman" w:hAnsi="Times New Roman" w:eastAsia="方正仿宋_GBK" w:cs="Times New Roman"/>
          <w:color w:val="auto"/>
          <w:sz w:val="24"/>
          <w:u w:val="single"/>
          <w:lang w:val="en-US" w:eastAsia="zh-CN"/>
        </w:rPr>
        <w:t>发电机维护保养服务</w:t>
      </w:r>
      <w:r>
        <w:rPr>
          <w:rFonts w:hint="eastAsia" w:ascii="Times New Roman" w:hAnsi="Times New Roman" w:eastAsia="方正仿宋_GBK" w:cs="Times New Roman"/>
          <w:color w:val="auto"/>
          <w:sz w:val="24"/>
          <w:u w:val="single"/>
        </w:rPr>
        <w:t>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pPr>
        <w:spacing w:line="560" w:lineRule="exact"/>
        <w:ind w:firstLine="482" w:firstLineChars="0"/>
        <w:rPr>
          <w:rFonts w:ascii="仿宋" w:eastAsia="仿宋"/>
          <w:b/>
          <w:bCs/>
          <w:color w:val="auto"/>
          <w:sz w:val="24"/>
        </w:rPr>
      </w:pPr>
      <w:r>
        <w:rPr>
          <w:rFonts w:hint="eastAsia" w:ascii="仿宋" w:eastAsia="仿宋"/>
          <w:b/>
          <w:bCs/>
          <w:color w:val="auto"/>
          <w:sz w:val="24"/>
        </w:rPr>
        <w:t>一、采购项目基本情况</w:t>
      </w:r>
    </w:p>
    <w:p>
      <w:pPr>
        <w:spacing w:line="440" w:lineRule="exact"/>
        <w:ind w:firstLine="480" w:firstLineChars="200"/>
        <w:rPr>
          <w:rFonts w:ascii="仿宋" w:eastAsia="仿宋"/>
          <w:color w:val="auto"/>
          <w:sz w:val="24"/>
        </w:rPr>
      </w:pPr>
      <w:r>
        <w:rPr>
          <w:rFonts w:hint="eastAsia" w:ascii="仿宋" w:eastAsia="仿宋"/>
          <w:color w:val="auto"/>
          <w:sz w:val="24"/>
        </w:rPr>
        <w:t>1.</w:t>
      </w:r>
      <w:r>
        <w:rPr>
          <w:rFonts w:hint="eastAsia" w:ascii="仿宋" w:eastAsia="仿宋"/>
          <w:color w:val="auto"/>
          <w:sz w:val="24"/>
          <w:lang w:val="en-US" w:eastAsia="zh-CN"/>
        </w:rPr>
        <w:t>采购</w:t>
      </w:r>
      <w:r>
        <w:rPr>
          <w:rFonts w:hint="eastAsia" w:ascii="仿宋" w:eastAsia="仿宋"/>
          <w:color w:val="auto"/>
          <w:sz w:val="24"/>
        </w:rPr>
        <w:t>项目编号：</w:t>
      </w:r>
      <w:bookmarkStart w:id="2" w:name="PO_项目编号_2"/>
      <w:r>
        <w:rPr>
          <w:rFonts w:hint="eastAsia" w:ascii="仿宋" w:eastAsia="仿宋" w:cs="Times New Roman"/>
          <w:color w:val="auto"/>
          <w:sz w:val="24"/>
        </w:rPr>
        <w:t>九管局采磋</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w:t>
      </w:r>
      <w:r>
        <w:rPr>
          <w:rFonts w:ascii="Times New Roman" w:hAnsi="Times New Roman" w:eastAsia="仿宋" w:cs="Times New Roman"/>
          <w:color w:val="auto"/>
          <w:sz w:val="24"/>
        </w:rPr>
        <w:t>2</w:t>
      </w:r>
      <w:r>
        <w:rPr>
          <w:rFonts w:hint="default" w:ascii="Times New Roman" w:hAnsi="Times New Roman" w:eastAsia="仿宋" w:cs="Times New Roman"/>
          <w:color w:val="auto"/>
          <w:sz w:val="24"/>
        </w:rPr>
        <w:t>4</w:t>
      </w:r>
      <w:r>
        <w:rPr>
          <w:rFonts w:hint="default" w:ascii="Times New Roman" w:hAnsi="Times New Roman" w:eastAsia="微软雅黑" w:cs="Times New Roman"/>
          <w:color w:val="auto"/>
          <w:sz w:val="24"/>
          <w:lang w:eastAsia="zh-CN"/>
        </w:rPr>
        <w:t>〕</w:t>
      </w:r>
      <w:r>
        <w:rPr>
          <w:rFonts w:hint="eastAsia" w:ascii="Times New Roman" w:hAnsi="Times New Roman" w:eastAsia="仿宋" w:cs="Times New Roman"/>
          <w:color w:val="auto"/>
          <w:sz w:val="24"/>
          <w:lang w:val="en-US" w:eastAsia="zh-CN"/>
        </w:rPr>
        <w:t>29</w:t>
      </w:r>
      <w:r>
        <w:rPr>
          <w:rFonts w:hint="eastAsia" w:ascii="仿宋" w:eastAsia="仿宋" w:cs="Times New Roman"/>
          <w:color w:val="auto"/>
          <w:sz w:val="24"/>
        </w:rPr>
        <w:t>号</w:t>
      </w:r>
      <w:r>
        <w:rPr>
          <w:rFonts w:ascii="仿宋" w:eastAsia="仿宋"/>
          <w:color w:val="auto"/>
          <w:sz w:val="24"/>
        </w:rPr>
        <w:t xml:space="preserve"> </w:t>
      </w:r>
      <w:bookmarkEnd w:id="2"/>
    </w:p>
    <w:p>
      <w:pPr>
        <w:spacing w:line="440" w:lineRule="exact"/>
        <w:ind w:firstLine="480" w:firstLineChars="200"/>
        <w:rPr>
          <w:rFonts w:ascii="Times New Roman" w:hAnsi="Times New Roman" w:eastAsia="方正仿宋_GBK" w:cs="Times New Roman"/>
          <w:color w:val="auto"/>
          <w:sz w:val="24"/>
          <w:u w:val="single"/>
        </w:rPr>
      </w:pPr>
      <w:r>
        <w:rPr>
          <w:rFonts w:hint="eastAsia" w:ascii="仿宋" w:eastAsia="仿宋"/>
          <w:color w:val="auto"/>
          <w:sz w:val="24"/>
        </w:rPr>
        <w:t>2.采购项目名称：</w:t>
      </w:r>
      <w:r>
        <w:rPr>
          <w:rFonts w:hint="eastAsia" w:ascii="Times New Roman" w:hAnsi="Times New Roman" w:eastAsia="方正仿宋_GBK" w:cs="Times New Roman"/>
          <w:color w:val="auto"/>
          <w:sz w:val="24"/>
          <w:u w:val="single"/>
          <w:lang w:val="en-US" w:eastAsia="zh-CN"/>
        </w:rPr>
        <w:t>九寨沟风景名胜区管理局发电机维护保养服务</w:t>
      </w:r>
      <w:r>
        <w:rPr>
          <w:rFonts w:hint="eastAsia" w:ascii="Times New Roman" w:hAnsi="Times New Roman" w:eastAsia="方正仿宋_GBK" w:cs="Times New Roman"/>
          <w:color w:val="auto"/>
          <w:sz w:val="24"/>
          <w:u w:val="single"/>
        </w:rPr>
        <w:t>采购项目</w:t>
      </w:r>
    </w:p>
    <w:p>
      <w:pPr>
        <w:spacing w:after="120" w:line="440" w:lineRule="exact"/>
        <w:ind w:right="31" w:rightChars="15" w:firstLine="480" w:firstLineChars="200"/>
        <w:rPr>
          <w:rFonts w:ascii="仿宋" w:eastAsia="仿宋"/>
          <w:b/>
          <w:color w:val="auto"/>
          <w:sz w:val="24"/>
        </w:rPr>
      </w:pPr>
      <w:r>
        <w:rPr>
          <w:rFonts w:hint="eastAsia" w:ascii="仿宋" w:eastAsia="仿宋"/>
          <w:color w:val="auto"/>
          <w:sz w:val="24"/>
        </w:rPr>
        <w:t>二、</w:t>
      </w:r>
      <w:r>
        <w:rPr>
          <w:rFonts w:hint="eastAsia" w:ascii="仿宋" w:eastAsia="仿宋"/>
          <w:b/>
          <w:color w:val="auto"/>
          <w:sz w:val="24"/>
        </w:rPr>
        <w:t>采购项目简介：</w:t>
      </w:r>
      <w:bookmarkStart w:id="3" w:name="PO_默认文件内容_2"/>
    </w:p>
    <w:p>
      <w:pPr>
        <w:spacing w:after="120" w:line="440" w:lineRule="exact"/>
        <w:ind w:right="31" w:rightChars="15" w:firstLine="480" w:firstLineChars="200"/>
        <w:rPr>
          <w:rFonts w:ascii="仿宋" w:eastAsia="仿宋"/>
          <w:b/>
          <w:bCs/>
          <w:color w:val="auto"/>
          <w:sz w:val="24"/>
        </w:rPr>
      </w:pPr>
      <w:r>
        <w:rPr>
          <w:rFonts w:hint="eastAsia" w:ascii="仿宋" w:eastAsia="仿宋"/>
          <w:color w:val="auto"/>
          <w:sz w:val="24"/>
          <w:szCs w:val="28"/>
        </w:rPr>
        <w:t>（详见磋商文件第</w:t>
      </w:r>
      <w:r>
        <w:rPr>
          <w:rFonts w:hint="eastAsia" w:ascii="仿宋" w:eastAsia="仿宋"/>
          <w:b/>
          <w:bCs/>
          <w:color w:val="auto"/>
          <w:sz w:val="24"/>
        </w:rPr>
        <w:t>五</w:t>
      </w:r>
      <w:r>
        <w:rPr>
          <w:rFonts w:hint="eastAsia" w:ascii="仿宋" w:eastAsia="仿宋"/>
          <w:color w:val="auto"/>
          <w:sz w:val="24"/>
          <w:szCs w:val="28"/>
        </w:rPr>
        <w:t>章）。</w:t>
      </w:r>
      <w:bookmarkEnd w:id="3"/>
    </w:p>
    <w:p>
      <w:pPr>
        <w:spacing w:after="120" w:line="440" w:lineRule="exact"/>
        <w:ind w:firstLine="482" w:firstLineChars="200"/>
        <w:rPr>
          <w:rFonts w:ascii="仿宋" w:eastAsia="仿宋"/>
          <w:b/>
          <w:bCs/>
          <w:color w:val="auto"/>
          <w:sz w:val="24"/>
        </w:rPr>
      </w:pPr>
      <w:r>
        <w:rPr>
          <w:rFonts w:hint="eastAsia" w:ascii="仿宋" w:eastAsia="仿宋"/>
          <w:b/>
          <w:color w:val="auto"/>
          <w:sz w:val="24"/>
        </w:rPr>
        <w:t>三</w:t>
      </w:r>
      <w:r>
        <w:rPr>
          <w:rFonts w:hint="eastAsia" w:ascii="仿宋" w:eastAsia="仿宋"/>
          <w:b/>
          <w:bCs/>
          <w:color w:val="auto"/>
          <w:sz w:val="24"/>
        </w:rPr>
        <w:t>、供应商邀请方式</w:t>
      </w:r>
    </w:p>
    <w:p>
      <w:pPr>
        <w:spacing w:after="120" w:line="440" w:lineRule="exact"/>
        <w:ind w:firstLine="480" w:firstLineChars="200"/>
        <w:rPr>
          <w:rFonts w:ascii="仿宋" w:eastAsia="仿宋"/>
          <w:bCs/>
          <w:color w:val="auto"/>
          <w:sz w:val="24"/>
        </w:rPr>
      </w:pPr>
      <w:bookmarkStart w:id="4" w:name="PO_默认文件内容_3"/>
      <w:r>
        <w:rPr>
          <w:rFonts w:hint="eastAsia" w:ascii="仿宋" w:eastAsia="仿宋"/>
          <w:bCs/>
          <w:color w:val="auto"/>
          <w:sz w:val="24"/>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auto"/>
          <w:sz w:val="24"/>
        </w:rPr>
      </w:pPr>
      <w:r>
        <w:rPr>
          <w:rFonts w:hint="eastAsia" w:ascii="仿宋" w:eastAsia="仿宋"/>
          <w:b/>
          <w:bCs/>
          <w:color w:val="auto"/>
          <w:sz w:val="24"/>
        </w:rPr>
        <w:t>四、供应商参加本次采购活动应具备下列条件：</w:t>
      </w:r>
    </w:p>
    <w:p>
      <w:pPr>
        <w:pStyle w:val="28"/>
        <w:spacing w:line="420" w:lineRule="exact"/>
        <w:ind w:firstLine="600" w:firstLineChars="250"/>
        <w:rPr>
          <w:rFonts w:ascii="仿宋" w:eastAsia="仿宋"/>
          <w:color w:val="auto"/>
          <w:sz w:val="24"/>
        </w:rPr>
      </w:pPr>
      <w:bookmarkStart w:id="5" w:name="PO_供应商资格条件_1"/>
      <w:r>
        <w:rPr>
          <w:rFonts w:hint="eastAsia" w:ascii="仿宋" w:eastAsia="仿宋"/>
          <w:color w:val="auto"/>
          <w:sz w:val="24"/>
        </w:rPr>
        <w:t>1.具有独立承担民事责任的能力；</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2.具有良好的商业信誉和健全的财务会计制度；</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3.具有履行合同所必须的设备和专业技术能力；</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4.具有依法缴纳税收和社会保障资金的良好记录；</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5.参加本次采购活动前三年内，在经营活动中没有重大违法记录；</w:t>
      </w:r>
    </w:p>
    <w:p>
      <w:pPr>
        <w:pStyle w:val="28"/>
        <w:spacing w:line="420" w:lineRule="exact"/>
        <w:ind w:firstLine="600" w:firstLineChars="250"/>
        <w:rPr>
          <w:rFonts w:ascii="仿宋" w:eastAsia="仿宋"/>
          <w:color w:val="auto"/>
          <w:sz w:val="24"/>
        </w:rPr>
      </w:pPr>
      <w:r>
        <w:rPr>
          <w:rFonts w:hint="eastAsia" w:ascii="仿宋" w:eastAsia="仿宋"/>
          <w:color w:val="auto"/>
          <w:sz w:val="24"/>
        </w:rPr>
        <w:t>6.法律、行政法规规定的其他条件；</w:t>
      </w:r>
    </w:p>
    <w:p>
      <w:pPr>
        <w:spacing w:after="120" w:line="420" w:lineRule="exact"/>
        <w:ind w:firstLine="480" w:firstLineChars="200"/>
        <w:rPr>
          <w:rFonts w:ascii="仿宋" w:eastAsia="仿宋"/>
          <w:bCs/>
          <w:color w:val="auto"/>
          <w:sz w:val="24"/>
        </w:rPr>
      </w:pPr>
      <w:r>
        <w:rPr>
          <w:rFonts w:hint="eastAsia" w:ascii="仿宋" w:eastAsia="仿宋"/>
          <w:bCs/>
          <w:color w:val="auto"/>
          <w:sz w:val="24"/>
        </w:rPr>
        <w:t xml:space="preserve"> 7.采购需求部门根据采购项目提出的特殊条件。</w:t>
      </w:r>
    </w:p>
    <w:p>
      <w:pPr>
        <w:pStyle w:val="28"/>
        <w:spacing w:line="420" w:lineRule="exact"/>
        <w:ind w:firstLine="600" w:firstLineChars="250"/>
        <w:rPr>
          <w:rFonts w:ascii="仿宋" w:eastAsia="仿宋" w:cs="Times New Roman"/>
          <w:bCs/>
          <w:color w:val="auto"/>
          <w:kern w:val="2"/>
          <w:sz w:val="24"/>
          <w:szCs w:val="24"/>
        </w:rPr>
      </w:pPr>
      <w:r>
        <w:rPr>
          <w:rFonts w:hint="eastAsia" w:ascii="仿宋" w:eastAsia="仿宋" w:cs="Times New Roman"/>
          <w:bCs/>
          <w:color w:val="auto"/>
          <w:kern w:val="2"/>
          <w:sz w:val="24"/>
          <w:szCs w:val="24"/>
        </w:rPr>
        <w:t>无</w:t>
      </w:r>
    </w:p>
    <w:p>
      <w:pPr>
        <w:pStyle w:val="28"/>
        <w:spacing w:line="420" w:lineRule="exact"/>
        <w:ind w:firstLine="600" w:firstLineChars="250"/>
        <w:rPr>
          <w:rFonts w:ascii="仿宋" w:eastAsia="仿宋" w:cs="宋体"/>
          <w:color w:val="auto"/>
          <w:sz w:val="24"/>
        </w:rPr>
      </w:pPr>
      <w:r>
        <w:rPr>
          <w:rFonts w:hint="eastAsia" w:ascii="仿宋" w:eastAsia="仿宋" w:cs="Times New Roman"/>
          <w:bCs/>
          <w:color w:val="auto"/>
          <w:kern w:val="2"/>
          <w:sz w:val="24"/>
          <w:szCs w:val="24"/>
        </w:rPr>
        <w:t>8.本项目不允许联合体参加。</w:t>
      </w:r>
      <w:bookmarkEnd w:id="5"/>
    </w:p>
    <w:p>
      <w:pPr>
        <w:spacing w:after="120" w:line="440" w:lineRule="exact"/>
        <w:ind w:firstLine="482" w:firstLineChars="200"/>
        <w:rPr>
          <w:rFonts w:ascii="仿宋" w:eastAsia="仿宋"/>
          <w:b/>
          <w:color w:val="auto"/>
          <w:sz w:val="24"/>
        </w:rPr>
      </w:pPr>
      <w:r>
        <w:rPr>
          <w:rFonts w:hint="eastAsia" w:ascii="仿宋" w:eastAsia="仿宋"/>
          <w:b/>
          <w:color w:val="auto"/>
          <w:sz w:val="24"/>
        </w:rPr>
        <w:t>五、磋商文件获取方式、时间、地点：</w:t>
      </w:r>
    </w:p>
    <w:p>
      <w:pPr>
        <w:spacing w:line="440" w:lineRule="exact"/>
        <w:ind w:firstLine="480" w:firstLineChars="200"/>
        <w:rPr>
          <w:rFonts w:ascii="仿宋" w:eastAsia="仿宋"/>
          <w:color w:val="auto"/>
          <w:sz w:val="24"/>
        </w:rPr>
      </w:pPr>
      <w:r>
        <w:rPr>
          <w:rFonts w:hint="eastAsia" w:ascii="仿宋" w:eastAsia="仿宋"/>
          <w:color w:val="auto"/>
          <w:sz w:val="24"/>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8</w:t>
      </w:r>
      <w:r>
        <w:rPr>
          <w:rFonts w:hint="eastAsia" w:ascii="宋体"/>
          <w:b/>
          <w:bCs/>
          <w:color w:val="000000" w:themeColor="text1"/>
          <w:sz w:val="24"/>
          <w:u w:val="single"/>
          <w14:textFill>
            <w14:solidFill>
              <w14:schemeClr w14:val="tx1"/>
            </w14:solidFill>
          </w14:textFill>
        </w:rPr>
        <w:t>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auto"/>
          <w:sz w:val="24"/>
          <w:lang w:val="en-US" w:eastAsia="zh-CN"/>
        </w:rPr>
        <w:t>1003878603</w:t>
      </w:r>
      <w:r>
        <w:rPr>
          <w:rFonts w:ascii="宋体"/>
          <w:color w:val="auto"/>
          <w:sz w:val="24"/>
        </w:rPr>
        <w:t>@qq.com。</w:t>
      </w:r>
    </w:p>
    <w:p>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19</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19</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19</w:t>
      </w:r>
      <w:r>
        <w:rPr>
          <w:rFonts w:ascii="Times New Roman" w:hAnsi="Times New Roman" w:eastAsia="方正仿宋_GBK" w:cs="Times New Roman"/>
          <w:b/>
          <w:color w:val="000000" w:themeColor="text1"/>
          <w:sz w:val="24"/>
          <w:u w:val="single"/>
          <w14:textFill>
            <w14:solidFill>
              <w14:schemeClr w14:val="tx1"/>
            </w14:solidFill>
          </w14:textFill>
        </w:rPr>
        <w:t>日10：00</w:t>
      </w:r>
      <w:bookmarkEnd w:id="8"/>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19</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auto"/>
          <w:sz w:val="24"/>
          <w:u w:val="single"/>
        </w:rPr>
      </w:pPr>
      <w:r>
        <w:rPr>
          <w:rFonts w:hint="eastAsia" w:ascii="Times New Roman" w:hAnsi="Times New Roman" w:eastAsia="仿宋" w:cs="Times New Roman"/>
          <w:b/>
          <w:color w:val="auto"/>
          <w:sz w:val="24"/>
          <w:u w:val="single"/>
        </w:rPr>
        <w:t>成都市青羊区金沙遗址路3附201号九寨沟风景名胜区管理局驻蓉联络处（金沙遗址南大门对面）</w:t>
      </w:r>
    </w:p>
    <w:p>
      <w:pPr>
        <w:spacing w:line="420" w:lineRule="exact"/>
        <w:ind w:firstLine="482" w:firstLineChars="200"/>
        <w:rPr>
          <w:rFonts w:ascii="仿宋" w:eastAsia="仿宋"/>
          <w:b/>
          <w:color w:val="auto"/>
          <w:sz w:val="24"/>
        </w:rPr>
      </w:pPr>
      <w:r>
        <w:rPr>
          <w:rFonts w:hint="eastAsia" w:ascii="仿宋" w:eastAsia="仿宋"/>
          <w:b/>
          <w:color w:val="auto"/>
          <w:sz w:val="24"/>
        </w:rPr>
        <w:t>十、联系方式</w:t>
      </w:r>
    </w:p>
    <w:p>
      <w:pPr>
        <w:spacing w:line="560" w:lineRule="exact"/>
        <w:ind w:firstLine="954"/>
        <w:rPr>
          <w:rFonts w:hint="eastAsia" w:ascii="Times New Roman" w:hAnsi="Times New Roman" w:eastAsia="方正仿宋_GBK" w:cs="Times New Roman"/>
          <w:b/>
          <w:color w:val="auto"/>
          <w:sz w:val="24"/>
          <w:u w:val="single"/>
          <w:lang w:eastAsia="zh-CN"/>
        </w:rPr>
      </w:pPr>
      <w:r>
        <w:rPr>
          <w:rFonts w:ascii="Times New Roman" w:hAnsi="Times New Roman" w:eastAsia="方正仿宋_GBK" w:cs="Times New Roman"/>
          <w:b/>
          <w:color w:val="auto"/>
          <w:sz w:val="24"/>
        </w:rPr>
        <w:t>采购需求部门：九寨沟风景名胜区管理局</w:t>
      </w:r>
      <w:r>
        <w:rPr>
          <w:rFonts w:hint="eastAsia" w:ascii="Times New Roman" w:hAnsi="Times New Roman" w:eastAsia="方正仿宋_GBK" w:cs="Times New Roman"/>
          <w:b/>
          <w:color w:val="auto"/>
          <w:sz w:val="24"/>
          <w:lang w:val="en-US" w:eastAsia="zh-CN"/>
        </w:rPr>
        <w:t>规划建设处</w:t>
      </w:r>
    </w:p>
    <w:p>
      <w:pPr>
        <w:spacing w:line="560" w:lineRule="exact"/>
        <w:ind w:firstLine="960" w:firstLineChars="4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1200" w:firstLineChars="500"/>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晏先生</w:t>
      </w:r>
    </w:p>
    <w:p>
      <w:pPr>
        <w:spacing w:line="560" w:lineRule="exact"/>
        <w:ind w:firstLine="12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联系电话：</w:t>
      </w:r>
      <w:r>
        <w:rPr>
          <w:rFonts w:hint="eastAsia" w:ascii="Times New Roman" w:hAnsi="Times New Roman" w:eastAsia="方正仿宋_GBK" w:cs="Times New Roman"/>
          <w:color w:val="auto"/>
          <w:sz w:val="24"/>
          <w:lang w:val="en-US" w:eastAsia="zh-CN"/>
        </w:rPr>
        <w:t>13320673000</w:t>
      </w:r>
    </w:p>
    <w:p>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刘</w:t>
      </w:r>
      <w:r>
        <w:rPr>
          <w:rFonts w:ascii="Times New Roman" w:hAnsi="Times New Roman" w:eastAsia="方正仿宋_GBK" w:cs="Times New Roman"/>
          <w:color w:val="auto"/>
          <w:sz w:val="24"/>
        </w:rPr>
        <w:t>女士</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pPr>
        <w:pStyle w:val="19"/>
        <w:spacing w:before="0" w:beforeAutospacing="0" w:after="0" w:afterAutospacing="0" w:line="440" w:lineRule="exact"/>
        <w:ind w:firstLine="6000" w:firstLineChars="2500"/>
        <w:rPr>
          <w:color w:val="auto"/>
          <w:sz w:val="24"/>
          <w:szCs w:val="24"/>
        </w:rPr>
      </w:pPr>
    </w:p>
    <w:p>
      <w:pPr>
        <w:pStyle w:val="19"/>
        <w:spacing w:before="0" w:beforeAutospacing="0" w:after="0" w:afterAutospacing="0" w:line="440" w:lineRule="exact"/>
        <w:ind w:firstLine="6000" w:firstLineChars="2500"/>
        <w:rPr>
          <w:color w:val="auto"/>
          <w:sz w:val="24"/>
          <w:szCs w:val="24"/>
        </w:rPr>
      </w:pPr>
      <w:r>
        <w:rPr>
          <w:color w:val="auto"/>
          <w:sz w:val="24"/>
          <w:szCs w:val="24"/>
        </w:rPr>
        <w:t>202</w:t>
      </w:r>
      <w:r>
        <w:rPr>
          <w:rFonts w:hint="eastAsia"/>
          <w:color w:val="auto"/>
          <w:sz w:val="24"/>
          <w:szCs w:val="24"/>
        </w:rPr>
        <w:t>4年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6</w:t>
      </w:r>
      <w:r>
        <w:rPr>
          <w:rFonts w:hint="eastAsia"/>
          <w:color w:val="auto"/>
          <w:sz w:val="24"/>
          <w:szCs w:val="24"/>
        </w:rPr>
        <w:t>日</w:t>
      </w:r>
    </w:p>
    <w:p>
      <w:pPr>
        <w:pStyle w:val="4"/>
        <w:rPr>
          <w:color w:val="auto"/>
        </w:rPr>
      </w:pPr>
      <w:bookmarkStart w:id="9" w:name="_Toc112053977"/>
    </w:p>
    <w:p>
      <w:pPr>
        <w:rPr>
          <w:color w:val="auto"/>
        </w:rPr>
      </w:pPr>
    </w:p>
    <w:p>
      <w:pPr>
        <w:spacing w:before="240" w:after="60"/>
        <w:jc w:val="center"/>
        <w:outlineLvl w:val="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第二章  磋商须知</w:t>
      </w:r>
      <w:bookmarkEnd w:id="9"/>
    </w:p>
    <w:p>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30"/>
              <w:ind w:left="9"/>
              <w:jc w:val="center"/>
              <w:rPr>
                <w:rFonts w:ascii="仿宋" w:eastAsia="仿宋"/>
                <w:color w:val="auto"/>
                <w:sz w:val="21"/>
                <w:szCs w:val="21"/>
                <w:lang w:val="zh-CN"/>
              </w:rPr>
            </w:pPr>
            <w:r>
              <w:rPr>
                <w:rFonts w:hint="eastAsia" w:ascii="仿宋" w:eastAsia="仿宋"/>
                <w:color w:val="auto"/>
                <w:sz w:val="21"/>
                <w:szCs w:val="21"/>
                <w:lang w:val="zh-CN"/>
              </w:rPr>
              <w:t>序号</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应知事项</w:t>
            </w:r>
          </w:p>
        </w:tc>
        <w:tc>
          <w:tcPr>
            <w:tcW w:w="6084" w:type="dxa"/>
            <w:vAlign w:val="center"/>
          </w:tcPr>
          <w:p>
            <w:pPr>
              <w:pStyle w:val="30"/>
              <w:jc w:val="center"/>
              <w:rPr>
                <w:rFonts w:ascii="仿宋" w:eastAsia="仿宋"/>
                <w:color w:val="auto"/>
                <w:sz w:val="21"/>
                <w:szCs w:val="21"/>
                <w:lang w:val="zh-CN"/>
              </w:rPr>
            </w:pPr>
            <w:r>
              <w:rPr>
                <w:rFonts w:hint="eastAsia" w:ascii="仿宋" w:eastAsia="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1</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采购预算</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pPr>
              <w:spacing w:line="340" w:lineRule="exact"/>
              <w:ind w:left="105" w:leftChars="50" w:right="105" w:rightChars="50"/>
              <w:rPr>
                <w:rFonts w:ascii="仿宋" w:eastAsia="仿宋"/>
                <w:color w:val="auto"/>
                <w:szCs w:val="21"/>
              </w:rPr>
            </w:pPr>
            <w:bookmarkStart w:id="10" w:name="PO_预算分包信息_1"/>
            <w:r>
              <w:rPr>
                <w:rFonts w:ascii="仿宋" w:eastAsia="仿宋"/>
                <w:color w:val="auto"/>
                <w:szCs w:val="21"/>
              </w:rPr>
              <w:t>1包采购预算：</w:t>
            </w:r>
            <w:r>
              <w:rPr>
                <w:rFonts w:hint="eastAsia" w:ascii="宋体" w:eastAsia="仿宋"/>
                <w:b/>
                <w:bCs/>
                <w:color w:val="auto"/>
                <w:sz w:val="24"/>
                <w:lang w:val="en-US" w:eastAsia="zh-CN"/>
              </w:rPr>
              <w:t>15</w:t>
            </w:r>
            <w:r>
              <w:rPr>
                <w:rFonts w:ascii="仿宋" w:eastAsia="仿宋"/>
                <w:color w:val="auto"/>
                <w:szCs w:val="21"/>
              </w:rPr>
              <w:t xml:space="preserve">万元 </w:t>
            </w:r>
            <w:bookmarkEnd w:id="10"/>
          </w:p>
          <w:p>
            <w:pPr>
              <w:spacing w:line="340" w:lineRule="exact"/>
              <w:ind w:left="105" w:leftChars="50" w:right="105" w:rightChars="50"/>
              <w:rPr>
                <w:rFonts w:ascii="仿宋" w:eastAsia="仿宋"/>
                <w:color w:val="auto"/>
                <w:szCs w:val="21"/>
              </w:rPr>
            </w:pPr>
            <w:r>
              <w:rPr>
                <w:rFonts w:hint="eastAsia" w:ascii="仿宋" w:eastAsia="仿宋"/>
                <w:color w:val="auto"/>
                <w:szCs w:val="21"/>
              </w:rPr>
              <w:t>超过采购预算的报价</w:t>
            </w:r>
            <w:r>
              <w:rPr>
                <w:rFonts w:hint="eastAsia" w:ascii="仿宋" w:eastAsia="仿宋"/>
                <w:color w:val="auto"/>
                <w:szCs w:val="21"/>
                <w:lang w:eastAsia="zh-CN"/>
              </w:rPr>
              <w:t>，</w:t>
            </w:r>
            <w:r>
              <w:rPr>
                <w:rFonts w:hint="eastAsia" w:ascii="仿宋" w:eastAsia="仿宋"/>
                <w:color w:val="auto"/>
                <w:szCs w:val="21"/>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2</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最高限价</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bookmarkStart w:id="11" w:name="PO_限价分包信息_1"/>
            <w:r>
              <w:rPr>
                <w:rFonts w:ascii="仿宋" w:eastAsia="仿宋"/>
                <w:color w:val="auto"/>
                <w:szCs w:val="21"/>
              </w:rPr>
              <w:t>1包最高限价：</w:t>
            </w:r>
            <w:r>
              <w:rPr>
                <w:rFonts w:hint="eastAsia" w:ascii="宋体" w:eastAsia="仿宋"/>
                <w:b/>
                <w:bCs/>
                <w:color w:val="auto"/>
                <w:sz w:val="24"/>
                <w:lang w:val="en-US" w:eastAsia="zh-CN"/>
              </w:rPr>
              <w:t>15</w:t>
            </w:r>
            <w:r>
              <w:rPr>
                <w:rFonts w:ascii="仿宋" w:eastAsia="仿宋"/>
                <w:color w:val="auto"/>
                <w:szCs w:val="21"/>
              </w:rPr>
              <w:t xml:space="preserve">万元 </w:t>
            </w:r>
            <w:bookmarkEnd w:id="11"/>
          </w:p>
          <w:p>
            <w:pPr>
              <w:spacing w:line="340" w:lineRule="exact"/>
              <w:ind w:left="105" w:leftChars="50" w:right="105" w:rightChars="50"/>
              <w:rPr>
                <w:rFonts w:ascii="仿宋" w:eastAsia="仿宋"/>
                <w:color w:val="auto"/>
                <w:szCs w:val="21"/>
              </w:rPr>
            </w:pPr>
            <w:bookmarkStart w:id="12" w:name="PO_默认文件内容_8"/>
            <w:r>
              <w:rPr>
                <w:rFonts w:hint="eastAsia" w:ascii="仿宋" w:eastAsia="仿宋"/>
                <w:color w:val="auto"/>
                <w:szCs w:val="21"/>
              </w:rPr>
              <w:t>超过最高</w:t>
            </w:r>
            <w:r>
              <w:rPr>
                <w:rFonts w:ascii="仿宋" w:eastAsia="仿宋"/>
                <w:color w:val="auto"/>
                <w:szCs w:val="21"/>
              </w:rPr>
              <w:t>限价</w:t>
            </w:r>
            <w:r>
              <w:rPr>
                <w:rFonts w:hint="eastAsia" w:ascii="仿宋" w:eastAsia="仿宋"/>
                <w:color w:val="auto"/>
                <w:szCs w:val="21"/>
              </w:rPr>
              <w:t>的报价</w:t>
            </w:r>
            <w:r>
              <w:rPr>
                <w:rFonts w:hint="eastAsia" w:ascii="仿宋" w:eastAsia="仿宋"/>
                <w:color w:val="auto"/>
                <w:szCs w:val="21"/>
                <w:lang w:eastAsia="zh-CN"/>
              </w:rPr>
              <w:t>，</w:t>
            </w:r>
            <w:r>
              <w:rPr>
                <w:rFonts w:hint="eastAsia" w:ascii="仿宋" w:eastAsia="仿宋"/>
                <w:color w:val="auto"/>
                <w:szCs w:val="21"/>
              </w:rPr>
              <w:t>其响应文件按无效处理。</w:t>
            </w:r>
          </w:p>
          <w:p>
            <w:pPr>
              <w:spacing w:line="340" w:lineRule="exact"/>
              <w:ind w:left="105" w:leftChars="50" w:right="105" w:rightChars="50"/>
              <w:rPr>
                <w:rFonts w:ascii="仿宋" w:eastAsia="仿宋"/>
                <w:color w:val="auto"/>
                <w:szCs w:val="21"/>
              </w:rPr>
            </w:pPr>
            <w:r>
              <w:rPr>
                <w:rFonts w:hint="eastAsia" w:ascii="仿宋" w:eastAsia="仿宋"/>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3</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不正当竞争预防措施</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pPr>
              <w:keepNext w:val="0"/>
              <w:keepLines w:val="0"/>
              <w:widowControl/>
              <w:suppressLineNumbers w:val="0"/>
              <w:spacing w:line="340" w:lineRule="exact"/>
              <w:ind w:left="105" w:leftChars="50" w:right="105" w:rightChars="50" w:firstLine="0" w:firstLineChars="0"/>
              <w:jc w:val="left"/>
              <w:rPr>
                <w:rFonts w:hint="eastAsia" w:ascii="仿宋" w:eastAsia="仿宋"/>
                <w:color w:val="auto"/>
                <w:szCs w:val="21"/>
                <w:lang w:bidi="ar"/>
              </w:rPr>
            </w:pPr>
            <w:bookmarkStart w:id="13" w:name="PO_默认文件内容_111"/>
            <w:r>
              <w:rPr>
                <w:rFonts w:hint="eastAsia" w:ascii="仿宋" w:hAnsi="Calibri" w:eastAsia="仿宋" w:cs="Arial"/>
                <w:color w:val="auto"/>
                <w:kern w:val="0"/>
                <w:sz w:val="21"/>
                <w:szCs w:val="21"/>
                <w:lang w:val="en-US" w:eastAsia="zh-CN" w:bidi="ar"/>
              </w:rPr>
              <w:t>在磋商过程中，</w:t>
            </w:r>
            <w:r>
              <w:rPr>
                <w:rFonts w:hint="eastAsia" w:ascii="仿宋" w:eastAsia="仿宋"/>
                <w:color w:val="auto"/>
                <w:szCs w:val="21"/>
                <w:lang w:bidi="ar"/>
              </w:rPr>
              <w:t>磋商小组认为供应商报价低于最高限价50%或者低于其他</w:t>
            </w:r>
            <w:r>
              <w:rPr>
                <w:rFonts w:hint="default" w:ascii="Times New Roman" w:hAnsi="Times New Roman" w:eastAsia="仿宋" w:cs="Times New Roman"/>
                <w:color w:val="auto"/>
                <w:szCs w:val="21"/>
              </w:rPr>
              <w:t>通过有效性、完整性和响应程度审查供应商</w:t>
            </w:r>
            <w:r>
              <w:rPr>
                <w:rFonts w:hint="eastAsia" w:ascii="Times New Roman" w:hAnsi="Times New Roman" w:eastAsia="仿宋" w:cs="Times New Roman"/>
                <w:color w:val="auto"/>
                <w:szCs w:val="21"/>
                <w:lang w:val="en-US" w:eastAsia="zh-CN"/>
              </w:rPr>
              <w:t>的</w:t>
            </w:r>
            <w:r>
              <w:rPr>
                <w:rFonts w:hint="eastAsia" w:ascii="仿宋" w:eastAsia="仿宋"/>
                <w:color w:val="auto"/>
                <w:szCs w:val="21"/>
                <w:lang w:bidi="ar"/>
              </w:rPr>
              <w:t>报价算术平均价40%， 有可能影响产品质量或者不能诚信履约的，磋商小组应当要求其在评审现场合理的时间内提供成本构成书面说明，</w:t>
            </w:r>
            <w:r>
              <w:rPr>
                <w:rFonts w:hint="default" w:ascii="Times New Roman" w:hAnsi="Times New Roman" w:eastAsia="仿宋" w:cs="Times New Roman"/>
                <w:color w:val="auto"/>
                <w:szCs w:val="21"/>
              </w:rPr>
              <w:t>必要时提交相关证明材料</w:t>
            </w:r>
            <w:r>
              <w:rPr>
                <w:rFonts w:hint="eastAsia" w:ascii="仿宋" w:eastAsia="仿宋"/>
                <w:color w:val="auto"/>
                <w:szCs w:val="21"/>
                <w:lang w:bidi="ar"/>
              </w:rPr>
              <w:t>。</w:t>
            </w:r>
          </w:p>
          <w:p>
            <w:pPr>
              <w:keepNext w:val="0"/>
              <w:keepLines w:val="0"/>
              <w:widowControl/>
              <w:suppressLineNumbers w:val="0"/>
              <w:spacing w:line="340" w:lineRule="exact"/>
              <w:ind w:left="105" w:leftChars="50" w:right="105" w:rightChars="50" w:firstLine="0" w:firstLineChars="0"/>
              <w:jc w:val="left"/>
              <w:rPr>
                <w:rFonts w:hint="eastAsia" w:ascii="仿宋" w:hAnsi="Calibri" w:eastAsia="仿宋" w:cs="Arial"/>
                <w:color w:val="auto"/>
                <w:kern w:val="0"/>
                <w:sz w:val="21"/>
                <w:szCs w:val="21"/>
                <w:lang w:val="en-US" w:eastAsia="zh-CN" w:bidi="ar"/>
              </w:rPr>
            </w:pPr>
            <w:r>
              <w:rPr>
                <w:rFonts w:hint="eastAsia" w:ascii="仿宋" w:eastAsia="仿宋"/>
                <w:color w:val="auto"/>
                <w:szCs w:val="21"/>
              </w:rPr>
              <w:t>供应商的书面说明</w:t>
            </w:r>
            <w:r>
              <w:rPr>
                <w:rFonts w:hint="eastAsia" w:ascii="仿宋" w:eastAsia="仿宋"/>
                <w:color w:val="auto"/>
                <w:szCs w:val="21"/>
                <w:lang w:eastAsia="zh-CN"/>
              </w:rPr>
              <w:t>材料</w:t>
            </w:r>
            <w:r>
              <w:rPr>
                <w:rFonts w:hint="eastAsia" w:ascii="仿宋" w:eastAsia="仿宋"/>
                <w:color w:val="auto"/>
                <w:szCs w:val="21"/>
                <w:lang w:bidi="ar"/>
              </w:rPr>
              <w:t>应当按照国家财务会计制度的规定要求，逐项就供应商提供的货物、工程和服务的主营业务成本（应根据供应商企业类型予以区别）、税金及附加、销售费用、管理费用、财务费用等成本构成事项详细陈述。</w:t>
            </w:r>
            <w:r>
              <w:rPr>
                <w:rFonts w:hint="default" w:ascii="Times New Roman" w:hAnsi="Times New Roman" w:eastAsia="仿宋" w:cs="Times New Roman"/>
                <w:color w:val="auto"/>
                <w:szCs w:val="21"/>
              </w:rPr>
              <w:t>供应商不能证明其报价合理性的，磋商小组应当将其作为无效响应处理。</w:t>
            </w:r>
            <w:bookmarkEnd w:id="13"/>
          </w:p>
          <w:p>
            <w:pPr>
              <w:widowControl/>
              <w:autoSpaceDE/>
              <w:autoSpaceDN/>
              <w:adjustRightInd/>
              <w:spacing w:line="340" w:lineRule="exact"/>
              <w:ind w:left="105" w:leftChars="50" w:right="105" w:rightChars="50" w:firstLine="0" w:firstLineChars="0"/>
              <w:jc w:val="left"/>
              <w:rPr>
                <w:rFonts w:hint="eastAsia" w:ascii="仿宋" w:eastAsia="仿宋"/>
                <w:color w:val="auto"/>
                <w:szCs w:val="21"/>
              </w:rPr>
            </w:pPr>
            <w:r>
              <w:rPr>
                <w:rFonts w:hint="eastAsia" w:ascii="仿宋" w:eastAsia="仿宋"/>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40" w:lineRule="exact"/>
              <w:ind w:left="105" w:leftChars="50" w:right="105" w:rightChars="50"/>
              <w:rPr>
                <w:rFonts w:ascii="仿宋" w:eastAsia="仿宋"/>
                <w:color w:val="auto"/>
                <w:szCs w:val="21"/>
              </w:rPr>
            </w:pPr>
            <w:r>
              <w:rPr>
                <w:rFonts w:hint="eastAsia" w:ascii="仿宋" w:eastAsia="仿宋"/>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4</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磋商情况公告</w:t>
            </w:r>
          </w:p>
        </w:tc>
        <w:tc>
          <w:tcPr>
            <w:tcW w:w="6084" w:type="dxa"/>
            <w:vAlign w:val="center"/>
          </w:tcPr>
          <w:p>
            <w:pPr>
              <w:spacing w:line="340" w:lineRule="exact"/>
              <w:ind w:left="105" w:leftChars="50" w:right="105" w:rightChars="50"/>
              <w:rPr>
                <w:rFonts w:ascii="仿宋" w:eastAsia="仿宋"/>
                <w:color w:val="auto"/>
                <w:szCs w:val="21"/>
              </w:rPr>
            </w:pPr>
            <w:bookmarkStart w:id="14" w:name="PO_默认文件内容_16"/>
            <w:r>
              <w:rPr>
                <w:rFonts w:hint="eastAsia" w:ascii="仿宋" w:eastAsia="仿宋"/>
                <w:color w:val="auto"/>
                <w:szCs w:val="21"/>
              </w:rPr>
              <w:t>供应商资格审查情况、磋商结果等在九寨沟景区官方网站上</w:t>
            </w:r>
            <w:bookmarkEnd w:id="14"/>
            <w:r>
              <w:rPr>
                <w:rFonts w:hint="eastAsia" w:ascii="仿宋" w:eastAsia="仿宋"/>
                <w:color w:val="auto"/>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5</w:t>
            </w:r>
          </w:p>
        </w:tc>
        <w:tc>
          <w:tcPr>
            <w:tcW w:w="2409" w:type="dxa"/>
            <w:vAlign w:val="center"/>
          </w:tcPr>
          <w:p>
            <w:pPr>
              <w:ind w:firstLine="630" w:firstLineChars="300"/>
              <w:jc w:val="left"/>
              <w:rPr>
                <w:rFonts w:ascii="仿宋" w:eastAsia="仿宋" w:cs="宋体"/>
                <w:color w:val="auto"/>
                <w:szCs w:val="21"/>
                <w:lang w:val="zh-CN"/>
              </w:rPr>
            </w:pPr>
            <w:r>
              <w:rPr>
                <w:rFonts w:hint="eastAsia" w:ascii="仿宋" w:eastAsia="仿宋" w:cs="宋体"/>
                <w:color w:val="auto"/>
                <w:szCs w:val="21"/>
                <w:lang w:val="zh-CN"/>
              </w:rPr>
              <w:t>合同分包</w:t>
            </w:r>
          </w:p>
          <w:p>
            <w:pPr>
              <w:pStyle w:val="30"/>
              <w:ind w:left="38"/>
              <w:jc w:val="center"/>
              <w:rPr>
                <w:rFonts w:ascii="仿宋" w:eastAsia="仿宋"/>
                <w:b/>
                <w:bCs/>
                <w:color w:val="auto"/>
                <w:sz w:val="21"/>
                <w:szCs w:val="21"/>
              </w:rPr>
            </w:pP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本项目不接受合同分包。</w:t>
            </w:r>
          </w:p>
          <w:p>
            <w:pPr>
              <w:spacing w:line="340" w:lineRule="exact"/>
              <w:ind w:left="105" w:leftChars="50" w:right="105" w:rightChars="50"/>
              <w:rPr>
                <w:rFonts w:ascii="仿宋" w:eastAsia="仿宋"/>
                <w:color w:val="auto"/>
                <w:szCs w:val="21"/>
              </w:rPr>
            </w:pPr>
            <w:r>
              <w:rPr>
                <w:rFonts w:hint="eastAsia" w:ascii="仿宋" w:eastAsia="仿宋"/>
                <w:color w:val="auto"/>
                <w:szCs w:val="21"/>
              </w:rPr>
              <w:t>□本项目接受合同分包，具体要求如下：</w:t>
            </w:r>
          </w:p>
          <w:p>
            <w:pPr>
              <w:spacing w:line="340" w:lineRule="exact"/>
              <w:ind w:left="105" w:leftChars="50" w:right="105" w:rightChars="50"/>
              <w:rPr>
                <w:rFonts w:ascii="仿宋" w:eastAsia="仿宋"/>
                <w:color w:val="auto"/>
                <w:szCs w:val="21"/>
              </w:rPr>
            </w:pPr>
            <w:r>
              <w:rPr>
                <w:rFonts w:ascii="仿宋" w:eastAsia="仿宋"/>
                <w:color w:val="auto"/>
                <w:szCs w:val="21"/>
              </w:rPr>
              <w:t>1.</w:t>
            </w:r>
            <w:r>
              <w:rPr>
                <w:rFonts w:hint="eastAsia" w:ascii="仿宋" w:eastAsia="仿宋"/>
                <w:color w:val="auto"/>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auto"/>
                <w:szCs w:val="21"/>
                <w:lang w:val="zh-CN"/>
              </w:rPr>
            </w:pPr>
            <w:r>
              <w:rPr>
                <w:rFonts w:ascii="仿宋" w:eastAsia="仿宋"/>
                <w:color w:val="auto"/>
                <w:szCs w:val="21"/>
              </w:rPr>
              <w:t>2.</w:t>
            </w:r>
            <w:r>
              <w:rPr>
                <w:rFonts w:hint="eastAsia" w:ascii="仿宋" w:eastAsia="仿宋"/>
                <w:color w:val="auto"/>
                <w:szCs w:val="21"/>
              </w:rPr>
              <w:t>分包履行合同的部分应当为采购项目的非主体、非关键性工作，不属于成交供应商的主要合同义务。本</w:t>
            </w:r>
            <w:r>
              <w:rPr>
                <w:rFonts w:ascii="仿宋" w:eastAsia="仿宋"/>
                <w:color w:val="auto"/>
                <w:szCs w:val="21"/>
              </w:rPr>
              <w:t>项目</w:t>
            </w:r>
            <w:r>
              <w:rPr>
                <w:rFonts w:hint="eastAsia" w:ascii="仿宋" w:eastAsia="仿宋"/>
                <w:color w:val="auto"/>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6</w:t>
            </w:r>
          </w:p>
        </w:tc>
        <w:tc>
          <w:tcPr>
            <w:tcW w:w="2409" w:type="dxa"/>
            <w:vAlign w:val="center"/>
          </w:tcPr>
          <w:p>
            <w:pPr>
              <w:pStyle w:val="30"/>
              <w:ind w:left="38"/>
              <w:jc w:val="center"/>
              <w:rPr>
                <w:rFonts w:ascii="仿宋" w:eastAsia="仿宋"/>
                <w:b/>
                <w:color w:val="auto"/>
                <w:sz w:val="21"/>
                <w:szCs w:val="21"/>
                <w:lang w:val="zh-CN"/>
              </w:rPr>
            </w:pPr>
            <w:r>
              <w:rPr>
                <w:rFonts w:hint="eastAsia" w:ascii="仿宋" w:eastAsia="仿宋"/>
                <w:b/>
                <w:bCs/>
                <w:color w:val="auto"/>
                <w:sz w:val="21"/>
                <w:szCs w:val="21"/>
              </w:rPr>
              <w:t>磋商</w:t>
            </w:r>
            <w:r>
              <w:rPr>
                <w:rFonts w:hint="eastAsia" w:ascii="仿宋" w:eastAsia="仿宋"/>
                <w:b/>
                <w:color w:val="auto"/>
                <w:sz w:val="21"/>
                <w:szCs w:val="21"/>
                <w:lang w:val="zh-CN"/>
              </w:rPr>
              <w:t>咨询</w:t>
            </w:r>
          </w:p>
        </w:tc>
        <w:tc>
          <w:tcPr>
            <w:tcW w:w="6084" w:type="dxa"/>
            <w:vAlign w:val="center"/>
          </w:tcPr>
          <w:p>
            <w:pPr>
              <w:pStyle w:val="30"/>
              <w:jc w:val="both"/>
              <w:rPr>
                <w:rFonts w:ascii="仿宋" w:eastAsia="仿宋"/>
                <w:color w:val="auto"/>
                <w:sz w:val="21"/>
                <w:szCs w:val="21"/>
              </w:rPr>
            </w:pPr>
            <w:r>
              <w:rPr>
                <w:rFonts w:hint="eastAsia" w:ascii="仿宋" w:eastAsia="仿宋" w:cs="Courier New"/>
                <w:color w:val="auto"/>
                <w:sz w:val="21"/>
                <w:szCs w:val="21"/>
                <w:lang w:val="zh-CN"/>
              </w:rPr>
              <w:t>联系人：</w:t>
            </w:r>
            <w:r>
              <w:rPr>
                <w:rFonts w:hint="eastAsia" w:ascii="仿宋" w:eastAsia="仿宋" w:cs="Courier New"/>
                <w:color w:val="auto"/>
                <w:sz w:val="21"/>
                <w:szCs w:val="21"/>
                <w:lang w:val="en-US" w:eastAsia="zh-CN"/>
              </w:rPr>
              <w:t>刘</w:t>
            </w:r>
            <w:r>
              <w:rPr>
                <w:rFonts w:hint="eastAsia" w:ascii="仿宋" w:eastAsia="仿宋"/>
                <w:color w:val="auto"/>
                <w:sz w:val="21"/>
                <w:szCs w:val="21"/>
                <w:lang w:val="zh-CN"/>
              </w:rPr>
              <w:t>女士</w:t>
            </w:r>
          </w:p>
          <w:p>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联系电话：</w:t>
            </w:r>
            <w:r>
              <w:rPr>
                <w:rFonts w:hint="eastAsia" w:ascii="仿宋" w:eastAsia="仿宋" w:cs="Courier New"/>
                <w:color w:val="auto"/>
                <w:szCs w:val="21"/>
              </w:rPr>
              <w:t>0837-</w:t>
            </w:r>
            <w:r>
              <w:rPr>
                <w:rFonts w:hint="eastAsia" w:ascii="仿宋" w:eastAsia="仿宋"/>
                <w:color w:val="auto"/>
                <w:szCs w:val="21"/>
              </w:rPr>
              <w:t>7739707</w:t>
            </w:r>
            <w:r>
              <w:rPr>
                <w:rFonts w:hint="eastAsia" w:ascii="仿宋" w:eastAsia="仿宋" w:cs="Courier New"/>
                <w:color w:val="auto"/>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7</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成交通知书领取</w:t>
            </w:r>
          </w:p>
        </w:tc>
        <w:tc>
          <w:tcPr>
            <w:tcW w:w="6084" w:type="dxa"/>
            <w:vAlign w:val="center"/>
          </w:tcPr>
          <w:p>
            <w:pPr>
              <w:pStyle w:val="30"/>
              <w:ind w:right="230"/>
              <w:jc w:val="both"/>
              <w:rPr>
                <w:rFonts w:ascii="仿宋" w:eastAsia="仿宋" w:cs="Courier New"/>
                <w:color w:val="auto"/>
                <w:sz w:val="21"/>
                <w:szCs w:val="21"/>
                <w:lang w:val="zh-CN"/>
              </w:rPr>
            </w:pPr>
            <w:bookmarkStart w:id="15" w:name="PO_默认文件内容_18"/>
            <w:r>
              <w:rPr>
                <w:rFonts w:hint="eastAsia" w:ascii="仿宋" w:eastAsia="仿宋" w:cs="Courier New"/>
                <w:color w:val="auto"/>
                <w:sz w:val="21"/>
                <w:szCs w:val="21"/>
                <w:lang w:val="zh-CN"/>
              </w:rPr>
              <w:t>采购结果公告在</w:t>
            </w:r>
            <w:r>
              <w:rPr>
                <w:rFonts w:hint="eastAsia" w:ascii="仿宋" w:eastAsia="仿宋"/>
                <w:color w:val="auto"/>
                <w:sz w:val="21"/>
                <w:szCs w:val="21"/>
                <w:u w:val="single"/>
                <w:lang w:val="zh-CN"/>
              </w:rPr>
              <w:t>九寨沟景区官方网站</w:t>
            </w:r>
            <w:r>
              <w:rPr>
                <w:rFonts w:hint="eastAsia" w:ascii="仿宋" w:eastAsia="仿宋" w:cs="Courier New"/>
                <w:color w:val="auto"/>
                <w:sz w:val="21"/>
                <w:szCs w:val="21"/>
                <w:lang w:val="zh-CN"/>
              </w:rPr>
              <w:t>上发布后，请成交供应商凭有效身份证明证件到采购组织部门领取成交通知书。</w:t>
            </w:r>
          </w:p>
          <w:p>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 系 人：</w:t>
            </w:r>
            <w:r>
              <w:rPr>
                <w:rFonts w:hint="eastAsia" w:ascii="仿宋" w:eastAsia="仿宋" w:cs="Courier New"/>
                <w:color w:val="auto"/>
                <w:sz w:val="21"/>
                <w:szCs w:val="21"/>
                <w:lang w:val="en-US" w:eastAsia="zh-CN"/>
              </w:rPr>
              <w:t>刘</w:t>
            </w:r>
            <w:r>
              <w:rPr>
                <w:rFonts w:hint="eastAsia" w:ascii="仿宋" w:eastAsia="仿宋"/>
                <w:color w:val="auto"/>
                <w:sz w:val="21"/>
                <w:szCs w:val="21"/>
                <w:lang w:val="zh-CN"/>
              </w:rPr>
              <w:t>女士</w:t>
            </w:r>
          </w:p>
          <w:p>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联系电话：</w:t>
            </w:r>
            <w:r>
              <w:rPr>
                <w:rFonts w:hint="eastAsia" w:ascii="仿宋" w:eastAsia="仿宋"/>
                <w:color w:val="auto"/>
                <w:sz w:val="21"/>
                <w:szCs w:val="21"/>
              </w:rPr>
              <w:t>0837-7739707</w:t>
            </w:r>
            <w:r>
              <w:rPr>
                <w:rFonts w:hint="eastAsia" w:ascii="仿宋" w:eastAsia="仿宋"/>
                <w:color w:val="auto"/>
                <w:sz w:val="21"/>
                <w:szCs w:val="21"/>
                <w:lang w:val="zh-CN"/>
              </w:rPr>
              <w:t>。</w:t>
            </w:r>
          </w:p>
          <w:p>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8</w:t>
            </w:r>
          </w:p>
        </w:tc>
        <w:tc>
          <w:tcPr>
            <w:tcW w:w="2409" w:type="dxa"/>
            <w:vAlign w:val="center"/>
          </w:tcPr>
          <w:p>
            <w:pPr>
              <w:pStyle w:val="30"/>
              <w:ind w:left="96"/>
              <w:jc w:val="center"/>
              <w:rPr>
                <w:rFonts w:ascii="仿宋" w:eastAsia="仿宋" w:cs="Courier New"/>
                <w:b/>
                <w:color w:val="auto"/>
                <w:sz w:val="21"/>
                <w:szCs w:val="21"/>
                <w:lang w:val="zh-CN"/>
              </w:rPr>
            </w:pPr>
            <w:r>
              <w:rPr>
                <w:rFonts w:hint="eastAsia" w:ascii="仿宋" w:eastAsia="仿宋"/>
                <w:color w:val="auto"/>
                <w:sz w:val="21"/>
                <w:szCs w:val="21"/>
                <w:lang w:val="zh-CN"/>
              </w:rPr>
              <w:t>联合</w:t>
            </w:r>
            <w:r>
              <w:rPr>
                <w:rFonts w:ascii="仿宋" w:eastAsia="仿宋"/>
                <w:color w:val="auto"/>
                <w:sz w:val="21"/>
                <w:szCs w:val="21"/>
                <w:lang w:val="zh-CN"/>
              </w:rPr>
              <w:t>体</w:t>
            </w: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本项目不允许</w:t>
            </w:r>
            <w:r>
              <w:rPr>
                <w:rFonts w:ascii="仿宋" w:eastAsia="仿宋"/>
                <w:color w:val="auto"/>
                <w:szCs w:val="21"/>
              </w:rPr>
              <w:t>联合体</w:t>
            </w:r>
            <w:r>
              <w:rPr>
                <w:rFonts w:hint="eastAsia" w:ascii="仿宋" w:eastAsia="仿宋"/>
                <w:color w:val="auto"/>
                <w:szCs w:val="21"/>
              </w:rPr>
              <w:t>参加</w:t>
            </w:r>
            <w:r>
              <w:rPr>
                <w:rFonts w:ascii="仿宋" w:eastAsia="仿宋"/>
                <w:color w:val="auto"/>
                <w:szCs w:val="21"/>
              </w:rPr>
              <w:t xml:space="preserve">    </w:t>
            </w:r>
          </w:p>
          <w:p>
            <w:pPr>
              <w:spacing w:line="340" w:lineRule="exact"/>
              <w:ind w:left="105" w:leftChars="50" w:right="105" w:rightChars="50"/>
              <w:rPr>
                <w:rFonts w:ascii="仿宋" w:eastAsia="仿宋"/>
                <w:color w:val="auto"/>
                <w:szCs w:val="21"/>
              </w:rPr>
            </w:pPr>
            <w:r>
              <w:rPr>
                <w:rFonts w:ascii="仿宋" w:eastAsia="仿宋"/>
                <w:color w:val="auto"/>
                <w:szCs w:val="21"/>
              </w:rPr>
              <w:t>□</w:t>
            </w:r>
            <w:r>
              <w:rPr>
                <w:rFonts w:hint="eastAsia" w:ascii="仿宋" w:eastAsia="仿宋"/>
                <w:color w:val="auto"/>
                <w:szCs w:val="21"/>
              </w:rPr>
              <w:t>本项目允许</w:t>
            </w:r>
            <w:r>
              <w:rPr>
                <w:rFonts w:ascii="仿宋" w:eastAsia="仿宋"/>
                <w:color w:val="auto"/>
                <w:szCs w:val="21"/>
              </w:rPr>
              <w:t>联合体</w:t>
            </w:r>
            <w:r>
              <w:rPr>
                <w:rFonts w:hint="eastAsia" w:ascii="仿宋" w:eastAsia="仿宋"/>
                <w:color w:val="auto"/>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9</w:t>
            </w:r>
          </w:p>
        </w:tc>
        <w:tc>
          <w:tcPr>
            <w:tcW w:w="2409" w:type="dxa"/>
            <w:vAlign w:val="center"/>
          </w:tcPr>
          <w:p>
            <w:pPr>
              <w:pStyle w:val="30"/>
              <w:ind w:right="230"/>
              <w:jc w:val="center"/>
              <w:rPr>
                <w:rFonts w:ascii="仿宋" w:eastAsia="仿宋"/>
                <w:color w:val="auto"/>
                <w:sz w:val="21"/>
                <w:szCs w:val="21"/>
                <w:lang w:val="zh-CN"/>
              </w:rPr>
            </w:pPr>
            <w:r>
              <w:rPr>
                <w:rFonts w:hint="eastAsia" w:ascii="仿宋" w:eastAsia="仿宋" w:cs="Courier New"/>
                <w:color w:val="auto"/>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供应商质疑由采购组织部门负责答复。</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 系 人：</w:t>
            </w:r>
            <w:r>
              <w:rPr>
                <w:rFonts w:hint="eastAsia" w:ascii="仿宋" w:eastAsia="仿宋" w:cs="Courier New"/>
                <w:color w:val="auto"/>
                <w:szCs w:val="21"/>
                <w:lang w:val="zh-CN"/>
              </w:rPr>
              <w:t>杜先生</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联系电话：0837-7739707。</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联系地址：四川省阿坝州九寨沟县漳扎镇九寨沟管理局智慧管理中心。</w:t>
            </w:r>
          </w:p>
          <w:p>
            <w:pPr>
              <w:spacing w:line="340" w:lineRule="exact"/>
              <w:ind w:left="105" w:leftChars="50" w:right="105" w:rightChars="50"/>
              <w:rPr>
                <w:rFonts w:ascii="仿宋" w:eastAsia="仿宋"/>
                <w:color w:val="auto"/>
                <w:szCs w:val="21"/>
              </w:rPr>
            </w:pPr>
            <w:r>
              <w:rPr>
                <w:rFonts w:hint="eastAsia" w:ascii="仿宋" w:eastAsia="仿宋" w:cs="Courier New"/>
                <w:color w:val="auto"/>
                <w:szCs w:val="21"/>
                <w:lang w:val="zh-CN"/>
              </w:rPr>
              <w:t>注：根据《中华人民共和国政府采购法》的规定，供应商质疑不得超出磋商文件、磋商过程、磋商结果的范围。</w:t>
            </w:r>
          </w:p>
        </w:tc>
      </w:tr>
    </w:tbl>
    <w:p>
      <w:pPr>
        <w:spacing w:line="401" w:lineRule="auto"/>
        <w:jc w:val="center"/>
        <w:rPr>
          <w:rFonts w:ascii="Times New Roman" w:hAnsi="Times New Roman" w:eastAsia="仿宋" w:cs="Times New Roman"/>
          <w:b/>
          <w:color w:val="auto"/>
          <w:sz w:val="32"/>
        </w:rPr>
      </w:pP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pPr>
        <w:pStyle w:val="6"/>
        <w:keepNext w:val="0"/>
        <w:keepLines w:val="0"/>
        <w:spacing w:before="0" w:after="0" w:line="400" w:lineRule="exact"/>
        <w:ind w:firstLine="482" w:firstLineChars="200"/>
        <w:rPr>
          <w:rFonts w:ascii="仿宋" w:eastAsia="仿宋"/>
          <w:color w:val="auto"/>
          <w:sz w:val="24"/>
        </w:rPr>
      </w:pPr>
      <w:bookmarkStart w:id="16" w:name="PO_默认文件内容_22"/>
      <w:r>
        <w:rPr>
          <w:rFonts w:hint="eastAsia" w:ascii="仿宋" w:eastAsia="仿宋"/>
          <w:color w:val="auto"/>
          <w:sz w:val="24"/>
        </w:rPr>
        <w:t>1</w:t>
      </w:r>
      <w:r>
        <w:rPr>
          <w:rFonts w:ascii="仿宋" w:eastAsia="仿宋"/>
          <w:color w:val="auto"/>
          <w:sz w:val="24"/>
        </w:rPr>
        <w:t>.</w:t>
      </w:r>
      <w:r>
        <w:rPr>
          <w:rFonts w:hint="eastAsia" w:ascii="仿宋" w:eastAsia="仿宋"/>
          <w:color w:val="auto"/>
          <w:sz w:val="24"/>
          <w:szCs w:val="24"/>
        </w:rPr>
        <w:t>适用范围</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w:t>
      </w:r>
      <w:r>
        <w:rPr>
          <w:rFonts w:ascii="仿宋" w:eastAsia="仿宋"/>
          <w:color w:val="auto"/>
          <w:sz w:val="24"/>
        </w:rPr>
        <w:t>.</w:t>
      </w:r>
      <w:r>
        <w:rPr>
          <w:rFonts w:hint="eastAsia" w:ascii="仿宋" w:eastAsia="仿宋"/>
          <w:color w:val="auto"/>
          <w:sz w:val="24"/>
        </w:rPr>
        <w:t>1 本磋商文件仅适用于本次磋商采购项目。</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1.2 本磋商文件的解释权归采购需求部门和采购组织部门所有。</w:t>
      </w:r>
      <w:bookmarkEnd w:id="16"/>
    </w:p>
    <w:p>
      <w:pPr>
        <w:pStyle w:val="6"/>
        <w:keepNext w:val="0"/>
        <w:keepLines w:val="0"/>
        <w:spacing w:before="0" w:after="0" w:line="400" w:lineRule="exact"/>
        <w:rPr>
          <w:rFonts w:ascii="仿宋" w:eastAsia="仿宋"/>
          <w:color w:val="auto"/>
          <w:sz w:val="24"/>
        </w:rPr>
      </w:pPr>
      <w:bookmarkStart w:id="17" w:name="_Toc217446035"/>
      <w:bookmarkStart w:id="18" w:name="_Toc183582206"/>
      <w:bookmarkStart w:id="19" w:name="_Toc183682343"/>
    </w:p>
    <w:p>
      <w:pPr>
        <w:pStyle w:val="6"/>
        <w:keepNext w:val="0"/>
        <w:keepLines w:val="0"/>
        <w:spacing w:before="0" w:after="0" w:line="400" w:lineRule="exact"/>
        <w:ind w:firstLine="482" w:firstLineChars="200"/>
        <w:rPr>
          <w:rFonts w:ascii="仿宋" w:eastAsia="仿宋"/>
          <w:color w:val="auto"/>
          <w:sz w:val="24"/>
        </w:rPr>
      </w:pPr>
      <w:r>
        <w:rPr>
          <w:rFonts w:ascii="仿宋" w:eastAsia="仿宋"/>
          <w:color w:val="auto"/>
          <w:sz w:val="24"/>
        </w:rPr>
        <w:t>2.</w:t>
      </w:r>
      <w:bookmarkEnd w:id="17"/>
      <w:bookmarkEnd w:id="18"/>
      <w:bookmarkEnd w:id="19"/>
      <w:r>
        <w:rPr>
          <w:rFonts w:hint="eastAsia" w:ascii="仿宋" w:eastAsia="仿宋"/>
          <w:color w:val="auto"/>
          <w:sz w:val="24"/>
        </w:rPr>
        <w:t>采购主体</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1本次磋商的采购需求部门是</w:t>
      </w:r>
      <w:bookmarkStart w:id="20" w:name="PO_采购人_4"/>
      <w:r>
        <w:rPr>
          <w:rFonts w:hint="eastAsia" w:ascii="仿宋" w:eastAsia="仿宋"/>
          <w:color w:val="auto"/>
          <w:sz w:val="24"/>
          <w:u w:val="single"/>
        </w:rPr>
        <w:t>九寨沟风景名胜区管理局</w:t>
      </w:r>
      <w:bookmarkEnd w:id="20"/>
      <w:r>
        <w:rPr>
          <w:rFonts w:hint="eastAsia" w:ascii="仿宋" w:eastAsia="仿宋"/>
          <w:color w:val="auto"/>
          <w:sz w:val="24"/>
          <w:u w:val="single"/>
          <w:lang w:val="en-US" w:eastAsia="zh-CN"/>
        </w:rPr>
        <w:t>规划建设处</w:t>
      </w:r>
      <w:r>
        <w:rPr>
          <w:rFonts w:hint="eastAsia" w:ascii="仿宋" w:eastAsia="仿宋"/>
          <w:color w:val="auto"/>
          <w:sz w:val="24"/>
        </w:rPr>
        <w:t>。</w:t>
      </w:r>
    </w:p>
    <w:p>
      <w:pPr>
        <w:tabs>
          <w:tab w:val="left" w:pos="7665"/>
        </w:tabs>
        <w:spacing w:line="400" w:lineRule="exact"/>
        <w:ind w:firstLine="480" w:firstLineChars="200"/>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auto"/>
          <w:sz w:val="24"/>
        </w:rPr>
      </w:pPr>
    </w:p>
    <w:p>
      <w:pPr>
        <w:pStyle w:val="6"/>
        <w:keepNext w:val="0"/>
        <w:keepLines w:val="0"/>
        <w:spacing w:before="0" w:after="0" w:line="400" w:lineRule="exact"/>
        <w:ind w:firstLine="482" w:firstLineChars="200"/>
        <w:rPr>
          <w:rFonts w:ascii="仿宋" w:eastAsia="仿宋"/>
          <w:color w:val="auto"/>
          <w:sz w:val="24"/>
        </w:rPr>
      </w:pPr>
      <w:bookmarkStart w:id="21" w:name="_Toc183682344"/>
      <w:bookmarkStart w:id="22" w:name="_Toc183582207"/>
      <w:bookmarkStart w:id="23" w:name="_Toc217390843"/>
      <w:bookmarkStart w:id="24" w:name="_Toc217446036"/>
      <w:r>
        <w:rPr>
          <w:rFonts w:ascii="仿宋" w:eastAsia="仿宋"/>
          <w:color w:val="auto"/>
          <w:sz w:val="24"/>
        </w:rPr>
        <w:t>3.</w:t>
      </w:r>
      <w:r>
        <w:rPr>
          <w:rFonts w:hint="eastAsia" w:ascii="仿宋" w:eastAsia="仿宋"/>
          <w:color w:val="auto"/>
          <w:sz w:val="24"/>
        </w:rPr>
        <w:t xml:space="preserve"> 合格</w:t>
      </w:r>
      <w:bookmarkEnd w:id="21"/>
      <w:bookmarkEnd w:id="22"/>
      <w:bookmarkEnd w:id="23"/>
      <w:bookmarkEnd w:id="24"/>
      <w:r>
        <w:rPr>
          <w:rFonts w:hint="eastAsia" w:ascii="仿宋" w:eastAsia="仿宋"/>
          <w:color w:val="auto"/>
          <w:sz w:val="24"/>
        </w:rPr>
        <w:t>供应商</w:t>
      </w:r>
    </w:p>
    <w:p>
      <w:pPr>
        <w:tabs>
          <w:tab w:val="left" w:pos="7665"/>
        </w:tabs>
        <w:spacing w:line="400" w:lineRule="exact"/>
        <w:rPr>
          <w:rFonts w:ascii="仿宋" w:eastAsia="仿宋"/>
          <w:color w:val="auto"/>
          <w:sz w:val="24"/>
        </w:rPr>
      </w:pPr>
      <w:r>
        <w:rPr>
          <w:rFonts w:hint="eastAsia" w:ascii="仿宋" w:eastAsia="仿宋"/>
          <w:color w:val="auto"/>
          <w:sz w:val="24"/>
        </w:rPr>
        <w:t xml:space="preserve">    合格供应商应具备以下条件：</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3.1 具备法律法规和本采购文件规定的资格条件；</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3.2 不属于禁止参加本项目采购活动的供应商；</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3.3</w:t>
      </w:r>
      <w:r>
        <w:rPr>
          <w:rFonts w:hint="eastAsia" w:ascii="仿宋" w:eastAsia="仿宋"/>
          <w:color w:val="auto"/>
          <w:spacing w:val="-4"/>
          <w:sz w:val="24"/>
        </w:rPr>
        <w:t>按照规定报名领取了采购文件</w:t>
      </w:r>
    </w:p>
    <w:p>
      <w:pPr>
        <w:pStyle w:val="6"/>
        <w:keepNext w:val="0"/>
        <w:keepLines w:val="0"/>
        <w:spacing w:before="0" w:after="0" w:line="400" w:lineRule="exact"/>
        <w:ind w:firstLine="482" w:firstLineChars="200"/>
        <w:rPr>
          <w:rFonts w:ascii="仿宋" w:eastAsia="仿宋"/>
          <w:color w:val="auto"/>
          <w:sz w:val="24"/>
        </w:rPr>
      </w:pPr>
      <w:bookmarkStart w:id="25" w:name="_Toc183682345"/>
      <w:bookmarkStart w:id="26" w:name="_Toc183582208"/>
      <w:bookmarkStart w:id="27" w:name="_Toc217446037"/>
      <w:r>
        <w:rPr>
          <w:rFonts w:hint="eastAsia" w:ascii="仿宋" w:eastAsia="仿宋"/>
          <w:color w:val="auto"/>
          <w:sz w:val="24"/>
        </w:rPr>
        <w:t>4. 磋商费用</w:t>
      </w:r>
      <w:bookmarkEnd w:id="25"/>
      <w:bookmarkEnd w:id="26"/>
      <w:bookmarkEnd w:id="27"/>
      <w:r>
        <w:rPr>
          <w:rFonts w:hint="eastAsia" w:ascii="仿宋" w:eastAsia="仿宋"/>
          <w:color w:val="auto"/>
          <w:sz w:val="24"/>
        </w:rPr>
        <w:t>（实质性要求）</w:t>
      </w:r>
    </w:p>
    <w:p>
      <w:pPr>
        <w:tabs>
          <w:tab w:val="left" w:pos="7665"/>
        </w:tabs>
        <w:spacing w:line="400" w:lineRule="exact"/>
        <w:ind w:firstLine="480"/>
        <w:rPr>
          <w:rFonts w:ascii="仿宋" w:eastAsia="仿宋"/>
          <w:color w:val="auto"/>
        </w:rPr>
      </w:pPr>
      <w:r>
        <w:rPr>
          <w:rFonts w:hint="eastAsia" w:ascii="仿宋" w:eastAsia="仿宋"/>
          <w:color w:val="auto"/>
          <w:sz w:val="24"/>
        </w:rPr>
        <w:t>供应商应自行承担参加磋商活动的全部费用。</w:t>
      </w: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5.充分、公平竞争保障措施（实质性要求）</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auto"/>
          <w:sz w:val="24"/>
        </w:rPr>
      </w:pPr>
      <w:r>
        <w:rPr>
          <w:rFonts w:hint="eastAsia" w:ascii="仿宋" w:eastAsia="仿宋"/>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auto"/>
          <w:sz w:val="24"/>
        </w:rPr>
      </w:pPr>
      <w:r>
        <w:rPr>
          <w:rFonts w:hint="eastAsia" w:ascii="仿宋" w:eastAsia="仿宋"/>
          <w:color w:val="auto"/>
          <w:sz w:val="24"/>
        </w:rPr>
        <w:t>5.5供应商与采购组织部门存在关联关系，不得参加本项目政府采购活动。</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5.6回避。采购活动中，采购人员及相关人员与供应商有下列利害关系之一的，应当回避：</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（1）与供应商的法定代表人或者负责人有夫妻、直系血亲关系；</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（2）与供应商有其他可能影响采购活动公平、公正进行的关系。</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仿宋" w:eastAsia="仿宋"/>
          <w:color w:val="auto"/>
          <w:sz w:val="24"/>
          <w:lang w:val="en-US" w:eastAsia="zh-CN"/>
        </w:rPr>
        <w:t>磋商</w:t>
      </w:r>
      <w:r>
        <w:rPr>
          <w:rFonts w:hint="eastAsia" w:ascii="仿宋" w:eastAsia="仿宋"/>
          <w:color w:val="auto"/>
          <w:sz w:val="24"/>
        </w:rPr>
        <w:t>小组成员。</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1"/>
        <w:spacing w:line="400" w:lineRule="exact"/>
        <w:ind w:left="1" w:firstLine="482" w:firstLineChars="200"/>
        <w:rPr>
          <w:rFonts w:ascii="仿宋" w:eastAsia="仿宋"/>
          <w:b/>
          <w:color w:val="auto"/>
          <w:sz w:val="24"/>
        </w:rPr>
      </w:pP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6.联合体竞争性磋商（仅适用于允许联合体参与的项目）</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联合体各方应当共同与采购需求部门签订采购合同，就采购合同约定的事项对采购需求部门承担连带责任。</w:t>
      </w:r>
    </w:p>
    <w:p>
      <w:pPr>
        <w:pStyle w:val="31"/>
        <w:spacing w:line="400" w:lineRule="exact"/>
        <w:ind w:left="1" w:firstLine="480" w:firstLineChars="200"/>
        <w:rPr>
          <w:rFonts w:ascii="仿宋" w:eastAsia="仿宋"/>
          <w:color w:val="auto"/>
          <w:sz w:val="24"/>
        </w:rPr>
      </w:pP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7.响应文件有效期（实质性要求）</w:t>
      </w:r>
    </w:p>
    <w:p>
      <w:pPr>
        <w:spacing w:line="400" w:lineRule="exact"/>
        <w:ind w:firstLine="470" w:firstLineChars="196"/>
        <w:rPr>
          <w:rFonts w:ascii="仿宋" w:eastAsia="仿宋"/>
          <w:color w:val="auto"/>
          <w:sz w:val="24"/>
        </w:rPr>
      </w:pPr>
      <w:r>
        <w:rPr>
          <w:rFonts w:hint="eastAsia" w:ascii="仿宋" w:eastAsia="仿宋"/>
          <w:color w:val="auto"/>
          <w:sz w:val="24"/>
        </w:rPr>
        <w:t>本项目响应文件有效期为递交磋商响应文件截止之日起</w:t>
      </w:r>
      <w:r>
        <w:rPr>
          <w:rFonts w:hint="eastAsia" w:ascii="仿宋" w:eastAsia="仿宋"/>
          <w:color w:val="auto"/>
          <w:sz w:val="24"/>
          <w:u w:val="single"/>
        </w:rPr>
        <w:t>90</w:t>
      </w:r>
      <w:r>
        <w:rPr>
          <w:rFonts w:hint="eastAsia" w:asci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auto"/>
          <w:sz w:val="24"/>
        </w:rPr>
      </w:pPr>
    </w:p>
    <w:p>
      <w:pPr>
        <w:pStyle w:val="11"/>
        <w:spacing w:line="400" w:lineRule="exact"/>
        <w:ind w:firstLine="482" w:firstLineChars="200"/>
        <w:rPr>
          <w:rFonts w:ascii="仿宋" w:eastAsia="仿宋"/>
          <w:b/>
          <w:bCs/>
          <w:color w:val="auto"/>
          <w:sz w:val="24"/>
          <w:szCs w:val="24"/>
        </w:rPr>
      </w:pPr>
      <w:r>
        <w:rPr>
          <w:rFonts w:hint="eastAsia" w:ascii="仿宋" w:eastAsia="仿宋"/>
          <w:b/>
          <w:color w:val="auto"/>
          <w:sz w:val="24"/>
        </w:rPr>
        <w:t>8.</w:t>
      </w:r>
      <w:r>
        <w:rPr>
          <w:rFonts w:hint="eastAsia" w:ascii="仿宋" w:eastAsia="仿宋"/>
          <w:b/>
          <w:bCs/>
          <w:color w:val="auto"/>
          <w:sz w:val="24"/>
          <w:szCs w:val="24"/>
        </w:rPr>
        <w:t>知识产权（实质性要求）</w:t>
      </w:r>
    </w:p>
    <w:p>
      <w:pPr>
        <w:pStyle w:val="11"/>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.1</w:t>
      </w:r>
      <w:r>
        <w:rPr>
          <w:rFonts w:hint="eastAsia" w:ascii="仿宋" w:eastAsia="仿宋"/>
          <w:color w:val="auto"/>
          <w:sz w:val="24"/>
        </w:rPr>
        <w:t>供应商</w:t>
      </w:r>
      <w:r>
        <w:rPr>
          <w:rFonts w:hint="eastAsia" w:asci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auto"/>
          <w:sz w:val="24"/>
        </w:rPr>
        <w:t>供应商</w:t>
      </w:r>
      <w:r>
        <w:rPr>
          <w:rFonts w:hint="eastAsia" w:ascii="仿宋" w:eastAsia="仿宋"/>
          <w:color w:val="auto"/>
          <w:sz w:val="24"/>
          <w:szCs w:val="24"/>
        </w:rPr>
        <w:t>承担所有相关责任。</w:t>
      </w:r>
    </w:p>
    <w:p>
      <w:pPr>
        <w:pStyle w:val="11"/>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.2</w:t>
      </w:r>
      <w:r>
        <w:rPr>
          <w:rFonts w:hint="eastAsia" w:ascii="仿宋" w:eastAsia="仿宋"/>
          <w:color w:val="auto"/>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auto"/>
          <w:sz w:val="24"/>
        </w:rPr>
      </w:pPr>
      <w:r>
        <w:rPr>
          <w:rFonts w:hint="eastAsia" w:ascii="仿宋" w:eastAsia="仿宋"/>
          <w:color w:val="auto"/>
          <w:sz w:val="24"/>
        </w:rPr>
        <w:t>8</w:t>
      </w:r>
      <w:r>
        <w:rPr>
          <w:rFonts w:ascii="仿宋" w:eastAsia="仿宋"/>
          <w:color w:val="auto"/>
          <w:sz w:val="24"/>
        </w:rPr>
        <w:t>.3</w:t>
      </w:r>
      <w:r>
        <w:rPr>
          <w:rFonts w:hint="eastAsia" w:ascii="仿宋" w:eastAsia="仿宋"/>
          <w:color w:val="auto"/>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auto"/>
          <w:sz w:val="24"/>
        </w:rPr>
      </w:pPr>
      <w:r>
        <w:rPr>
          <w:rFonts w:hint="eastAsia" w:ascii="仿宋" w:eastAsia="仿宋"/>
          <w:color w:val="auto"/>
          <w:sz w:val="24"/>
        </w:rPr>
        <w:t>8</w:t>
      </w:r>
      <w:r>
        <w:rPr>
          <w:rFonts w:ascii="仿宋" w:eastAsia="仿宋"/>
          <w:color w:val="auto"/>
          <w:sz w:val="24"/>
        </w:rPr>
        <w:t>.4</w:t>
      </w:r>
      <w:r>
        <w:rPr>
          <w:rFonts w:hint="eastAsia" w:ascii="仿宋" w:eastAsia="仿宋"/>
          <w:color w:val="auto"/>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9．磋商文件的构成（实质性要求）</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9</w:t>
      </w:r>
      <w:r>
        <w:rPr>
          <w:rFonts w:ascii="仿宋" w:eastAsia="仿宋"/>
          <w:b/>
          <w:bCs/>
          <w:color w:val="auto"/>
          <w:sz w:val="24"/>
        </w:rPr>
        <w:t>.</w:t>
      </w:r>
      <w:r>
        <w:rPr>
          <w:rFonts w:hint="eastAsia" w:ascii="仿宋" w:eastAsia="仿宋"/>
          <w:color w:val="auto"/>
          <w:sz w:val="24"/>
        </w:rPr>
        <w:t>1 磋商文件是供应商准备响应文件和参加磋商的依据，同时也是磋商的重要依据。磋商文件用以阐明磋商项目所需的资</w:t>
      </w:r>
      <w:r>
        <w:rPr>
          <w:rFonts w:hint="eastAsia" w:ascii="仿宋" w:eastAsia="仿宋"/>
          <w:color w:val="auto"/>
          <w:sz w:val="24"/>
          <w:lang w:val="en-US" w:eastAsia="zh-CN"/>
        </w:rPr>
        <w:t>格</w:t>
      </w:r>
      <w:r>
        <w:rPr>
          <w:rFonts w:hint="eastAsia" w:ascii="仿宋" w:eastAsia="仿宋"/>
          <w:color w:val="auto"/>
          <w:sz w:val="24"/>
        </w:rPr>
        <w:t>、技术、服务及报价等要求、磋商程序、有关规定和注意事项以及合同主要条款等。</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9</w:t>
      </w:r>
      <w:r>
        <w:rPr>
          <w:rFonts w:hint="eastAsia" w:ascii="仿宋" w:eastAsia="仿宋"/>
          <w:b/>
          <w:bCs/>
          <w:color w:val="auto"/>
          <w:sz w:val="24"/>
        </w:rPr>
        <w:t>.</w:t>
      </w:r>
      <w:r>
        <w:rPr>
          <w:rFonts w:hint="eastAsia" w:asci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color w:val="auto"/>
          <w:sz w:val="24"/>
        </w:rPr>
      </w:pPr>
      <w:bookmarkStart w:id="28" w:name="_Toc183682348"/>
      <w:bookmarkStart w:id="29" w:name="_Toc183582211"/>
      <w:bookmarkStart w:id="30" w:name="_Toc217446040"/>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10. 磋商文件的澄清</w:t>
      </w:r>
      <w:bookmarkEnd w:id="28"/>
      <w:bookmarkEnd w:id="29"/>
      <w:r>
        <w:rPr>
          <w:rFonts w:hint="eastAsia" w:ascii="仿宋" w:eastAsia="仿宋"/>
          <w:color w:val="auto"/>
          <w:sz w:val="24"/>
        </w:rPr>
        <w:t>和修改</w:t>
      </w:r>
      <w:bookmarkEnd w:id="30"/>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auto"/>
          <w:sz w:val="24"/>
        </w:rPr>
        <w:t>提交</w:t>
      </w:r>
      <w:r>
        <w:rPr>
          <w:rFonts w:hint="eastAsia" w:ascii="仿宋" w:eastAsia="仿宋"/>
          <w:color w:val="auto"/>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auto"/>
          <w:sz w:val="24"/>
        </w:rPr>
      </w:pPr>
      <w:bookmarkStart w:id="31" w:name="_Toc217446041"/>
      <w:bookmarkStart w:id="32" w:name="_Toc208848971"/>
      <w:r>
        <w:rPr>
          <w:rFonts w:hint="eastAsia" w:ascii="仿宋" w:eastAsia="仿宋"/>
          <w:color w:val="auto"/>
          <w:sz w:val="24"/>
        </w:rPr>
        <w:t>11. 答疑会和现场考察</w:t>
      </w:r>
      <w:bookmarkEnd w:id="31"/>
      <w:bookmarkEnd w:id="32"/>
    </w:p>
    <w:p>
      <w:pPr>
        <w:spacing w:line="400" w:lineRule="exact"/>
        <w:ind w:firstLine="480" w:firstLineChars="200"/>
        <w:rPr>
          <w:rFonts w:ascii="仿宋" w:eastAsia="仿宋"/>
          <w:color w:val="auto"/>
          <w:sz w:val="24"/>
        </w:rPr>
      </w:pPr>
      <w:r>
        <w:rPr>
          <w:rFonts w:hint="eastAsia" w:ascii="仿宋" w:eastAsia="仿宋"/>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auto"/>
          <w:sz w:val="24"/>
        </w:rPr>
      </w:pPr>
      <w:r>
        <w:rPr>
          <w:rFonts w:hint="eastAsia" w:ascii="仿宋" w:eastAsia="仿宋"/>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auto"/>
          <w:sz w:val="24"/>
        </w:rPr>
      </w:pPr>
      <w:r>
        <w:rPr>
          <w:rFonts w:hint="eastAsia" w:ascii="仿宋" w:eastAsia="仿宋"/>
          <w:color w:val="auto"/>
          <w:sz w:val="24"/>
        </w:rPr>
        <w:t>11</w:t>
      </w:r>
      <w:r>
        <w:rPr>
          <w:rFonts w:ascii="仿宋" w:eastAsia="仿宋"/>
          <w:color w:val="auto"/>
          <w:sz w:val="24"/>
        </w:rPr>
        <w:t>.</w:t>
      </w:r>
      <w:r>
        <w:rPr>
          <w:rFonts w:hint="eastAsia" w:ascii="仿宋" w:eastAsia="仿宋"/>
          <w:color w:val="auto"/>
          <w:sz w:val="24"/>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auto"/>
        </w:rPr>
      </w:pPr>
      <w:bookmarkStart w:id="33" w:name="_Toc183582214"/>
      <w:bookmarkStart w:id="34" w:name="_Toc183682351"/>
      <w:bookmarkStart w:id="35" w:name="_Toc77400780"/>
      <w:bookmarkStart w:id="36" w:name="_Toc217446042"/>
      <w:bookmarkStart w:id="37" w:name="_Toc89075876"/>
    </w:p>
    <w:p>
      <w:pPr>
        <w:pStyle w:val="4"/>
        <w:keepNext w:val="0"/>
        <w:keepLines w:val="0"/>
        <w:spacing w:before="0" w:after="0" w:line="400" w:lineRule="exact"/>
        <w:jc w:val="center"/>
        <w:rPr>
          <w:rFonts w:ascii="仿宋" w:eastAsia="仿宋"/>
          <w:bCs w:val="0"/>
          <w:color w:val="auto"/>
        </w:rPr>
      </w:pPr>
      <w:r>
        <w:rPr>
          <w:rFonts w:hint="eastAsia" w:ascii="仿宋" w:eastAsia="仿宋"/>
          <w:bCs w:val="0"/>
          <w:color w:val="auto"/>
        </w:rPr>
        <w:t>四、响应文件</w:t>
      </w:r>
      <w:bookmarkEnd w:id="33"/>
      <w:bookmarkEnd w:id="34"/>
      <w:bookmarkEnd w:id="35"/>
      <w:bookmarkEnd w:id="36"/>
      <w:bookmarkEnd w:id="37"/>
    </w:p>
    <w:p>
      <w:pPr>
        <w:pStyle w:val="6"/>
        <w:keepNext w:val="0"/>
        <w:keepLines w:val="0"/>
        <w:spacing w:before="0" w:after="0" w:line="400" w:lineRule="exact"/>
        <w:ind w:firstLine="482" w:firstLineChars="200"/>
        <w:rPr>
          <w:rFonts w:ascii="仿宋" w:eastAsia="仿宋"/>
          <w:bCs w:val="0"/>
          <w:color w:val="auto"/>
          <w:sz w:val="24"/>
        </w:rPr>
      </w:pPr>
      <w:bookmarkStart w:id="38" w:name="_Toc183682352"/>
      <w:bookmarkStart w:id="39" w:name="_Toc183582215"/>
      <w:bookmarkStart w:id="40" w:name="_Toc217446043"/>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12.响应文件的组成</w:t>
      </w:r>
    </w:p>
    <w:p>
      <w:pPr>
        <w:pStyle w:val="6"/>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12.1供应商应按照</w:t>
      </w:r>
      <w:r>
        <w:rPr>
          <w:rFonts w:hint="eastAsia" w:ascii="仿宋" w:eastAsia="仿宋"/>
          <w:b w:val="0"/>
          <w:color w:val="auto"/>
          <w:sz w:val="24"/>
          <w:szCs w:val="18"/>
        </w:rPr>
        <w:t>磋商</w:t>
      </w:r>
      <w:r>
        <w:rPr>
          <w:rFonts w:hint="eastAsia" w:ascii="仿宋" w:eastAsia="仿宋"/>
          <w:b w:val="0"/>
          <w:color w:val="auto"/>
          <w:sz w:val="24"/>
        </w:rPr>
        <w:t>文件的规定和要求编制响应文件。供应商在成交后将成交项目的非主体、非关键性工作分包他人完成的，应当在响应文件中载明或磋商过程中澄清。</w:t>
      </w:r>
      <w:r>
        <w:rPr>
          <w:rFonts w:hint="eastAsia" w:ascii="仿宋" w:eastAsia="仿宋"/>
          <w:color w:val="auto"/>
          <w:sz w:val="24"/>
        </w:rPr>
        <w:t>（实质性要求）</w:t>
      </w:r>
    </w:p>
    <w:p>
      <w:pPr>
        <w:pStyle w:val="6"/>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12.2供应商编写的响应文件应包括资格性响应文件和其他响应文件两部分，分册装订。</w:t>
      </w:r>
    </w:p>
    <w:p>
      <w:pPr>
        <w:spacing w:line="400" w:lineRule="exact"/>
        <w:ind w:left="2" w:leftChars="1" w:firstLine="420" w:firstLineChars="200"/>
        <w:rPr>
          <w:rFonts w:ascii="仿宋" w:eastAsia="仿宋"/>
          <w:color w:val="auto"/>
        </w:rPr>
      </w:pPr>
    </w:p>
    <w:p>
      <w:pPr>
        <w:pStyle w:val="6"/>
        <w:keepNext w:val="0"/>
        <w:keepLines w:val="0"/>
        <w:spacing w:before="0" w:after="0" w:line="400" w:lineRule="exact"/>
        <w:ind w:firstLine="482" w:firstLineChars="200"/>
        <w:rPr>
          <w:rFonts w:ascii="仿宋" w:eastAsia="仿宋"/>
          <w:bCs w:val="0"/>
          <w:color w:val="auto"/>
          <w:sz w:val="24"/>
        </w:rPr>
      </w:pPr>
      <w:r>
        <w:rPr>
          <w:rFonts w:hint="eastAsia" w:ascii="仿宋" w:eastAsia="仿宋"/>
          <w:bCs w:val="0"/>
          <w:color w:val="auto"/>
          <w:sz w:val="24"/>
        </w:rPr>
        <w:t>13.响应文件的语言</w:t>
      </w:r>
      <w:bookmarkEnd w:id="38"/>
      <w:bookmarkEnd w:id="39"/>
      <w:bookmarkEnd w:id="40"/>
      <w:r>
        <w:rPr>
          <w:rFonts w:hint="eastAsia" w:ascii="仿宋" w:eastAsia="仿宋"/>
          <w:bCs w:val="0"/>
          <w:color w:val="auto"/>
          <w:sz w:val="24"/>
        </w:rPr>
        <w:t>（实质性要求）</w:t>
      </w:r>
    </w:p>
    <w:p>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auto"/>
          <w:sz w:val="24"/>
        </w:rPr>
      </w:pPr>
      <w:r>
        <w:rPr>
          <w:rFonts w:hint="eastAsia" w:ascii="仿宋" w:eastAsia="仿宋" w:cs="宋体"/>
          <w:color w:val="auto"/>
          <w:sz w:val="24"/>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auto"/>
          <w:sz w:val="24"/>
        </w:rPr>
      </w:pPr>
      <w:bookmarkStart w:id="41" w:name="_Toc183682353"/>
      <w:bookmarkStart w:id="42" w:name="_Toc217446044"/>
      <w:bookmarkStart w:id="43" w:name="_Toc183582216"/>
      <w:r>
        <w:rPr>
          <w:rFonts w:hint="eastAsia" w:ascii="仿宋" w:eastAsia="仿宋"/>
          <w:color w:val="auto"/>
          <w:sz w:val="24"/>
        </w:rPr>
        <w:t>14．计量单位</w:t>
      </w:r>
      <w:bookmarkEnd w:id="41"/>
      <w:bookmarkEnd w:id="42"/>
      <w:bookmarkEnd w:id="43"/>
      <w:r>
        <w:rPr>
          <w:rFonts w:hint="eastAsia" w:ascii="仿宋" w:eastAsia="仿宋"/>
          <w:color w:val="auto"/>
          <w:sz w:val="24"/>
        </w:rPr>
        <w:t>（实质性要求）</w:t>
      </w:r>
    </w:p>
    <w:p>
      <w:pPr>
        <w:spacing w:line="400" w:lineRule="exact"/>
        <w:ind w:firstLine="470" w:firstLineChars="196"/>
        <w:rPr>
          <w:rFonts w:ascii="仿宋" w:eastAsia="仿宋"/>
          <w:color w:val="auto"/>
          <w:sz w:val="24"/>
        </w:rPr>
      </w:pPr>
      <w:r>
        <w:rPr>
          <w:rFonts w:hint="eastAsia" w:ascii="仿宋" w:eastAsia="仿宋"/>
          <w:color w:val="auto"/>
          <w:sz w:val="24"/>
        </w:rPr>
        <w:t>除磋商文件中另有规定外，本次采购项目所有合同项下的报价均采用国家法定的计量单位。</w:t>
      </w:r>
    </w:p>
    <w:p>
      <w:pPr>
        <w:spacing w:line="400" w:lineRule="exact"/>
        <w:ind w:firstLine="470" w:firstLineChars="195"/>
        <w:rPr>
          <w:rFonts w:ascii="仿宋" w:eastAsia="仿宋"/>
          <w:b/>
          <w:bCs/>
          <w:color w:val="auto"/>
          <w:sz w:val="24"/>
        </w:rPr>
      </w:pPr>
    </w:p>
    <w:p>
      <w:pPr>
        <w:spacing w:line="400" w:lineRule="exact"/>
        <w:ind w:firstLine="470" w:firstLineChars="195"/>
        <w:rPr>
          <w:rFonts w:ascii="仿宋" w:eastAsia="仿宋"/>
          <w:b/>
          <w:bCs/>
          <w:color w:val="auto"/>
          <w:sz w:val="24"/>
        </w:rPr>
      </w:pPr>
      <w:r>
        <w:rPr>
          <w:rFonts w:hint="eastAsia" w:ascii="仿宋" w:eastAsia="仿宋"/>
          <w:b/>
          <w:bCs/>
          <w:color w:val="auto"/>
          <w:sz w:val="24"/>
        </w:rPr>
        <w:t xml:space="preserve">15. </w:t>
      </w:r>
      <w:r>
        <w:rPr>
          <w:rFonts w:hint="eastAsia" w:ascii="仿宋" w:eastAsia="仿宋"/>
          <w:b/>
          <w:color w:val="auto"/>
          <w:sz w:val="24"/>
        </w:rPr>
        <w:t>报价</w:t>
      </w:r>
    </w:p>
    <w:p>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.1本次磋商项目的报价货币为人民币，报价以磋商文件规定为准。</w:t>
      </w:r>
      <w:r>
        <w:rPr>
          <w:rFonts w:ascii="Times New Roman" w:hAnsi="Times New Roman" w:eastAsia="仿宋" w:cs="Times New Roman"/>
          <w:b/>
          <w:color w:val="auto"/>
          <w:sz w:val="24"/>
        </w:rPr>
        <w:t>（实质性要求）</w:t>
      </w:r>
    </w:p>
    <w:p>
      <w:pPr>
        <w:spacing w:line="401" w:lineRule="auto"/>
        <w:ind w:firstLine="468"/>
        <w:rPr>
          <w:rFonts w:ascii="Times New Roman" w:hAnsi="Times New Roman" w:eastAsia="仿宋" w:cs="Times New Roman"/>
          <w:b/>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auto"/>
          <w:sz w:val="24"/>
        </w:rPr>
      </w:pPr>
      <w:r>
        <w:rPr>
          <w:rFonts w:hint="eastAsia" w:ascii="仿宋" w:eastAsia="仿宋"/>
          <w:b/>
          <w:color w:val="auto"/>
          <w:sz w:val="24"/>
        </w:rPr>
        <w:t>16.响应文件格式</w:t>
      </w:r>
    </w:p>
    <w:p>
      <w:pPr>
        <w:spacing w:line="400" w:lineRule="exact"/>
        <w:ind w:left="2" w:leftChars="1" w:firstLine="480" w:firstLineChars="200"/>
        <w:rPr>
          <w:rFonts w:ascii="仿宋" w:eastAsia="仿宋"/>
          <w:color w:val="auto"/>
          <w:sz w:val="24"/>
        </w:rPr>
      </w:pPr>
      <w:r>
        <w:rPr>
          <w:rFonts w:hint="eastAsia" w:ascii="仿宋" w:eastAsia="仿宋"/>
          <w:color w:val="auto"/>
          <w:sz w:val="24"/>
        </w:rPr>
        <w:t>16.1 供应商应执行磋商文件第七章的规定要求。</w:t>
      </w:r>
    </w:p>
    <w:p>
      <w:pPr>
        <w:spacing w:line="400" w:lineRule="exact"/>
        <w:ind w:left="2" w:leftChars="1" w:firstLine="480" w:firstLineChars="200"/>
        <w:rPr>
          <w:rFonts w:ascii="仿宋" w:eastAsia="仿宋"/>
          <w:color w:val="auto"/>
          <w:sz w:val="24"/>
        </w:rPr>
      </w:pPr>
      <w:r>
        <w:rPr>
          <w:rFonts w:hint="eastAsia" w:ascii="仿宋" w:eastAsia="仿宋"/>
          <w:color w:val="auto"/>
          <w:sz w:val="24"/>
        </w:rPr>
        <w:t>16.2 对于没有格式要求的磋商文件由供应商自行编写。</w:t>
      </w:r>
    </w:p>
    <w:p>
      <w:pPr>
        <w:spacing w:line="400" w:lineRule="exact"/>
        <w:ind w:firstLine="470" w:firstLineChars="196"/>
        <w:rPr>
          <w:rFonts w:ascii="仿宋" w:eastAsia="仿宋"/>
          <w:color w:val="auto"/>
          <w:sz w:val="24"/>
        </w:rPr>
      </w:pPr>
      <w:bookmarkStart w:id="44" w:name="_Toc183582224"/>
      <w:bookmarkStart w:id="45" w:name="_Toc183682361"/>
      <w:bookmarkStart w:id="46" w:name="_Toc217446051"/>
    </w:p>
    <w:p>
      <w:pPr>
        <w:spacing w:line="400" w:lineRule="exact"/>
        <w:ind w:firstLine="472" w:firstLineChars="196"/>
        <w:rPr>
          <w:rFonts w:ascii="仿宋" w:eastAsia="仿宋"/>
          <w:b/>
          <w:color w:val="auto"/>
          <w:sz w:val="24"/>
        </w:rPr>
      </w:pPr>
      <w:r>
        <w:rPr>
          <w:rFonts w:hint="eastAsia" w:ascii="仿宋" w:eastAsia="仿宋"/>
          <w:b/>
          <w:color w:val="auto"/>
          <w:sz w:val="24"/>
        </w:rPr>
        <w:t>17.响应文件的编制和签署</w:t>
      </w:r>
    </w:p>
    <w:p>
      <w:pPr>
        <w:spacing w:line="400" w:lineRule="exact"/>
        <w:ind w:firstLine="470" w:firstLineChars="196"/>
        <w:rPr>
          <w:rFonts w:ascii="仿宋" w:eastAsia="仿宋"/>
          <w:color w:val="auto"/>
          <w:sz w:val="24"/>
        </w:rPr>
      </w:pPr>
      <w:r>
        <w:rPr>
          <w:rFonts w:hint="eastAsia" w:ascii="仿宋" w:eastAsia="仿宋"/>
          <w:color w:val="auto"/>
          <w:sz w:val="24"/>
        </w:rPr>
        <w:t>17.1 资格性响应文件正本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auto"/>
          <w:sz w:val="24"/>
        </w:rPr>
      </w:pPr>
      <w:r>
        <w:rPr>
          <w:rFonts w:hint="eastAsia" w:ascii="仿宋" w:eastAsia="仿宋"/>
          <w:color w:val="auto"/>
          <w:sz w:val="24"/>
        </w:rPr>
        <w:t>17.2 其他响应文件正本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17.5</w:t>
      </w:r>
      <w:r>
        <w:rPr>
          <w:rFonts w:hint="eastAsia" w:ascii="仿宋" w:eastAsia="仿宋"/>
          <w:b/>
          <w:color w:val="auto"/>
          <w:sz w:val="24"/>
        </w:rPr>
        <w:t>（实质性要求）</w:t>
      </w:r>
      <w:r>
        <w:rPr>
          <w:rFonts w:hint="eastAsia" w:ascii="仿宋" w:eastAsia="仿宋"/>
          <w:color w:val="auto"/>
          <w:sz w:val="24"/>
        </w:rPr>
        <w:t>响应文件应由供应商法定代表人/主要负责人/本人或其授权代表在响应文件要求的地方签字</w:t>
      </w:r>
      <w:r>
        <w:rPr>
          <w:rFonts w:hint="eastAsia" w:ascii="仿宋" w:eastAsia="仿宋"/>
          <w:bCs/>
          <w:color w:val="auto"/>
          <w:sz w:val="24"/>
        </w:rPr>
        <w:t>（注：</w:t>
      </w:r>
      <w:r>
        <w:rPr>
          <w:rFonts w:hint="eastAsia" w:ascii="仿宋" w:eastAsia="仿宋"/>
          <w:color w:val="auto"/>
          <w:sz w:val="24"/>
        </w:rPr>
        <w:t>供应商为法人的，应当由其法定代表人或者</w:t>
      </w:r>
      <w:r>
        <w:rPr>
          <w:rFonts w:hint="eastAsia" w:ascii="仿宋" w:eastAsia="仿宋"/>
          <w:bCs/>
          <w:color w:val="auto"/>
          <w:sz w:val="24"/>
        </w:rPr>
        <w:t>授权代表</w:t>
      </w:r>
      <w:r>
        <w:rPr>
          <w:rFonts w:hint="eastAsia" w:ascii="仿宋" w:eastAsia="仿宋"/>
          <w:color w:val="auto"/>
          <w:sz w:val="24"/>
        </w:rPr>
        <w:t>签字确认；供应商为其他组织的，应当由其主要负责人或者</w:t>
      </w:r>
      <w:r>
        <w:rPr>
          <w:rFonts w:hint="eastAsia" w:ascii="仿宋" w:eastAsia="仿宋"/>
          <w:bCs/>
          <w:color w:val="auto"/>
          <w:sz w:val="24"/>
        </w:rPr>
        <w:t>授权代表</w:t>
      </w:r>
      <w:r>
        <w:rPr>
          <w:rFonts w:hint="eastAsia" w:ascii="仿宋" w:eastAsia="仿宋"/>
          <w:color w:val="auto"/>
          <w:sz w:val="24"/>
        </w:rPr>
        <w:t>签字确认；供应商为自然人的，应当由其本人或者</w:t>
      </w:r>
      <w:r>
        <w:rPr>
          <w:rFonts w:hint="eastAsia" w:ascii="仿宋" w:eastAsia="仿宋"/>
          <w:bCs/>
          <w:color w:val="auto"/>
          <w:sz w:val="24"/>
        </w:rPr>
        <w:t>授权代表</w:t>
      </w:r>
      <w:r>
        <w:rPr>
          <w:rFonts w:hint="eastAsia" w:ascii="仿宋" w:eastAsia="仿宋"/>
          <w:color w:val="auto"/>
          <w:sz w:val="24"/>
        </w:rPr>
        <w:t>签字确认</w:t>
      </w:r>
      <w:r>
        <w:rPr>
          <w:rFonts w:hint="eastAsia" w:ascii="仿宋" w:eastAsia="仿宋"/>
          <w:bCs/>
          <w:color w:val="auto"/>
          <w:sz w:val="24"/>
        </w:rPr>
        <w:t>）或加盖私人印章</w:t>
      </w:r>
      <w:r>
        <w:rPr>
          <w:rFonts w:hint="eastAsia" w:ascii="仿宋" w:eastAsia="仿宋"/>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17.6响应文件正本和副本需要逐页编目编码。</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17.8</w:t>
      </w:r>
      <w:r>
        <w:rPr>
          <w:rFonts w:hint="eastAsia" w:ascii="仿宋" w:eastAsia="仿宋"/>
          <w:b/>
          <w:color w:val="auto"/>
          <w:sz w:val="24"/>
        </w:rPr>
        <w:t>（实质性要求）</w:t>
      </w:r>
      <w:r>
        <w:rPr>
          <w:rFonts w:hint="eastAsia" w:ascii="仿宋" w:eastAsia="仿宋"/>
          <w:color w:val="auto"/>
          <w:sz w:val="24"/>
        </w:rPr>
        <w:t>响应文件应根据磋商文件的要求签署、盖章（第八章</w:t>
      </w:r>
      <w:r>
        <w:rPr>
          <w:rFonts w:ascii="仿宋" w:eastAsia="仿宋"/>
          <w:color w:val="auto"/>
          <w:sz w:val="24"/>
        </w:rPr>
        <w:t>2.4.6</w:t>
      </w:r>
      <w:r>
        <w:rPr>
          <w:rFonts w:hint="eastAsia" w:ascii="仿宋" w:eastAsia="仿宋"/>
          <w:color w:val="auto"/>
          <w:sz w:val="24"/>
        </w:rPr>
        <w:t>规定</w:t>
      </w:r>
      <w:r>
        <w:rPr>
          <w:rFonts w:ascii="仿宋" w:eastAsia="仿宋"/>
          <w:color w:val="auto"/>
          <w:sz w:val="24"/>
        </w:rPr>
        <w:t>的</w:t>
      </w:r>
      <w:r>
        <w:rPr>
          <w:rFonts w:hint="eastAsia" w:ascii="仿宋" w:eastAsia="仿宋"/>
          <w:color w:val="auto"/>
          <w:sz w:val="24"/>
        </w:rPr>
        <w:t>例外</w:t>
      </w:r>
      <w:r>
        <w:rPr>
          <w:rFonts w:ascii="仿宋" w:eastAsia="仿宋"/>
          <w:color w:val="auto"/>
          <w:sz w:val="24"/>
        </w:rPr>
        <w:t>情形除外</w:t>
      </w:r>
      <w:r>
        <w:rPr>
          <w:rFonts w:hint="eastAsia" w:ascii="仿宋" w:eastAsia="仿宋"/>
          <w:color w:val="auto"/>
          <w:sz w:val="24"/>
        </w:rPr>
        <w:t>）。</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17.9响应文件统一用</w:t>
      </w:r>
      <w:r>
        <w:rPr>
          <w:rFonts w:ascii="仿宋" w:eastAsia="仿宋"/>
          <w:color w:val="auto"/>
          <w:sz w:val="24"/>
        </w:rPr>
        <w:t>A4</w:t>
      </w:r>
      <w:r>
        <w:rPr>
          <w:rFonts w:hint="eastAsia" w:ascii="仿宋" w:eastAsia="仿宋"/>
          <w:color w:val="auto"/>
          <w:sz w:val="24"/>
        </w:rPr>
        <w:t>幅面纸印制，除另有规定外。</w:t>
      </w:r>
    </w:p>
    <w:p>
      <w:pPr>
        <w:tabs>
          <w:tab w:val="left" w:pos="1080"/>
        </w:tabs>
        <w:spacing w:line="400" w:lineRule="exact"/>
        <w:ind w:firstLine="463" w:firstLineChars="192"/>
        <w:rPr>
          <w:rFonts w:ascii="仿宋" w:eastAsia="仿宋"/>
          <w:b/>
          <w:color w:val="auto"/>
          <w:sz w:val="24"/>
        </w:rPr>
      </w:pPr>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18.3 所有外层密封袋的封口处应粘贴牢固。</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18.4 未密封的响应文件，采购需求部门、采购组织部门将拒收或者在时间允许的范围内，要求修改完善后接收。</w:t>
      </w:r>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19.响应文件的递交</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19.3 报价表在磋商后，磋商小组要求供应商进行报价时递交。</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19.4 本次采购不接收邮寄的响应文件。</w:t>
      </w:r>
    </w:p>
    <w:p>
      <w:pPr>
        <w:tabs>
          <w:tab w:val="left" w:pos="1080"/>
        </w:tabs>
        <w:spacing w:line="400" w:lineRule="exact"/>
        <w:ind w:firstLine="463" w:firstLineChars="192"/>
        <w:rPr>
          <w:rFonts w:ascii="仿宋" w:eastAsia="仿宋"/>
          <w:b/>
          <w:color w:val="auto"/>
          <w:sz w:val="24"/>
        </w:rPr>
      </w:pPr>
      <w:bookmarkStart w:id="47" w:name="_Toc183582228"/>
      <w:bookmarkStart w:id="48" w:name="_Toc217446055"/>
      <w:bookmarkStart w:id="49" w:name="_Toc183682365"/>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20.响应文件的修改和撤回（补充、修改响应文件的密封和标注按照本章“18.响应文件的密封和标注”规定处理）</w:t>
      </w:r>
    </w:p>
    <w:p>
      <w:pPr>
        <w:pStyle w:val="8"/>
        <w:spacing w:line="400" w:lineRule="exact"/>
        <w:ind w:firstLine="48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color w:val="auto"/>
          <w:sz w:val="24"/>
        </w:rPr>
      </w:pPr>
      <w:r>
        <w:rPr>
          <w:rFonts w:hint="eastAsia" w:ascii="仿宋" w:eastAsia="仿宋"/>
          <w:color w:val="auto"/>
          <w:sz w:val="24"/>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auto"/>
        </w:rPr>
      </w:pPr>
      <w:r>
        <w:rPr>
          <w:rFonts w:hint="eastAsia" w:ascii="仿宋" w:eastAsia="仿宋"/>
          <w:color w:val="auto"/>
        </w:rPr>
        <w:t>五、评审</w:t>
      </w:r>
    </w:p>
    <w:p>
      <w:pPr>
        <w:pStyle w:val="4"/>
        <w:keepNext w:val="0"/>
        <w:keepLines w:val="0"/>
        <w:spacing w:line="400" w:lineRule="exact"/>
        <w:ind w:firstLine="480" w:firstLineChars="200"/>
        <w:jc w:val="left"/>
        <w:rPr>
          <w:rFonts w:ascii="仿宋" w:eastAsia="仿宋"/>
          <w:b w:val="0"/>
          <w:color w:val="auto"/>
          <w:sz w:val="24"/>
          <w:szCs w:val="24"/>
        </w:rPr>
      </w:pPr>
      <w:r>
        <w:rPr>
          <w:rFonts w:hint="eastAsia" w:ascii="仿宋" w:eastAsia="仿宋"/>
          <w:b w:val="0"/>
          <w:bCs w:val="0"/>
          <w:color w:val="auto"/>
          <w:sz w:val="24"/>
          <w:szCs w:val="24"/>
        </w:rPr>
        <w:t>21.</w:t>
      </w:r>
      <w:r>
        <w:rPr>
          <w:rFonts w:hint="eastAsia" w:ascii="仿宋" w:eastAsia="仿宋"/>
          <w:b w:val="0"/>
          <w:color w:val="auto"/>
          <w:sz w:val="24"/>
          <w:szCs w:val="24"/>
        </w:rPr>
        <w:t>磋商小组的组建及其评审工作按照有关法律制度和本文件第八章的规定进行。</w:t>
      </w:r>
    </w:p>
    <w:p>
      <w:pPr>
        <w:pStyle w:val="4"/>
        <w:keepNext w:val="0"/>
        <w:keepLines w:val="0"/>
        <w:spacing w:line="400" w:lineRule="exact"/>
        <w:jc w:val="center"/>
        <w:rPr>
          <w:rFonts w:ascii="仿宋" w:eastAsia="仿宋"/>
          <w:color w:val="auto"/>
        </w:rPr>
      </w:pPr>
      <w:r>
        <w:rPr>
          <w:rFonts w:hint="eastAsia" w:ascii="仿宋" w:eastAsia="仿宋"/>
          <w:color w:val="auto"/>
        </w:rPr>
        <w:t>六、成交事项</w:t>
      </w:r>
    </w:p>
    <w:p>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22.确定成交供应商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（4）成交候选供应商提供虚假材料；</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（5）成交候选供应商恶意串通。</w:t>
      </w:r>
    </w:p>
    <w:p>
      <w:pPr>
        <w:rPr>
          <w:rFonts w:ascii="仿宋" w:eastAsia="仿宋"/>
          <w:color w:val="auto"/>
        </w:rPr>
      </w:pPr>
    </w:p>
    <w:p>
      <w:pPr>
        <w:ind w:firstLine="482" w:firstLineChars="200"/>
        <w:rPr>
          <w:rFonts w:ascii="仿宋" w:eastAsia="仿宋"/>
          <w:b/>
          <w:color w:val="auto"/>
          <w:sz w:val="24"/>
        </w:rPr>
      </w:pPr>
      <w:r>
        <w:rPr>
          <w:rFonts w:hint="eastAsia" w:ascii="仿宋" w:eastAsia="仿宋"/>
          <w:b/>
          <w:color w:val="auto"/>
          <w:sz w:val="24"/>
        </w:rPr>
        <w:t>23.成交结果</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23.1采购需求部门确定成交供应商后，将及时书面通知采购组织部门，发出成交通知书并发布成交结果公告。</w:t>
      </w:r>
    </w:p>
    <w:p>
      <w:pPr>
        <w:ind w:firstLine="465"/>
        <w:rPr>
          <w:rFonts w:ascii="仿宋" w:eastAsia="仿宋"/>
          <w:color w:val="auto"/>
          <w:sz w:val="24"/>
        </w:rPr>
      </w:pPr>
      <w:r>
        <w:rPr>
          <w:rFonts w:hint="eastAsia" w:ascii="仿宋" w:eastAsia="仿宋"/>
          <w:color w:val="auto"/>
          <w:sz w:val="24"/>
        </w:rPr>
        <w:t>23.2成交供应商应当及时领取成交通知书。</w:t>
      </w:r>
    </w:p>
    <w:p>
      <w:pPr>
        <w:ind w:firstLine="480" w:firstLineChars="200"/>
        <w:rPr>
          <w:rFonts w:ascii="仿宋" w:eastAsia="仿宋"/>
          <w:color w:val="auto"/>
          <w:sz w:val="24"/>
        </w:rPr>
      </w:pPr>
      <w:r>
        <w:rPr>
          <w:rFonts w:hint="eastAsia" w:ascii="仿宋" w:eastAsia="仿宋"/>
          <w:color w:val="auto"/>
          <w:sz w:val="24"/>
        </w:rPr>
        <w:t>23.3成交供应商不能及时领取成交通知书，采购</w:t>
      </w:r>
      <w:r>
        <w:rPr>
          <w:rFonts w:hint="eastAsia" w:ascii="仿宋" w:eastAsia="仿宋"/>
          <w:color w:val="auto"/>
          <w:sz w:val="24"/>
          <w:szCs w:val="24"/>
        </w:rPr>
        <w:t>需求部门</w:t>
      </w:r>
      <w:r>
        <w:rPr>
          <w:rFonts w:hint="eastAsia" w:ascii="仿宋" w:eastAsia="仿宋"/>
          <w:color w:val="auto"/>
          <w:sz w:val="24"/>
        </w:rPr>
        <w:t>或者采购组织部门应当通过邮寄、快递等方式将项目成交通知书送达成交供应商。</w:t>
      </w:r>
    </w:p>
    <w:p>
      <w:pPr>
        <w:ind w:firstLine="480" w:firstLineChars="200"/>
        <w:rPr>
          <w:rFonts w:ascii="仿宋" w:eastAsia="仿宋"/>
          <w:color w:val="auto"/>
          <w:sz w:val="24"/>
        </w:rPr>
      </w:pPr>
    </w:p>
    <w:p>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24.成交通知书</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tabs>
          <w:tab w:val="left" w:pos="5460"/>
        </w:tabs>
        <w:spacing w:line="400" w:lineRule="exact"/>
        <w:jc w:val="center"/>
        <w:rPr>
          <w:rFonts w:ascii="仿宋" w:eastAsia="仿宋"/>
          <w:color w:val="auto"/>
        </w:rPr>
      </w:pPr>
      <w:r>
        <w:rPr>
          <w:rFonts w:hint="eastAsia" w:ascii="仿宋" w:eastAsia="仿宋"/>
          <w:color w:val="auto"/>
        </w:rPr>
        <w:t>七、合同事项</w:t>
      </w:r>
    </w:p>
    <w:p>
      <w:pPr>
        <w:pStyle w:val="4"/>
        <w:keepNext w:val="0"/>
        <w:keepLines w:val="0"/>
        <w:spacing w:before="0" w:after="0" w:line="400" w:lineRule="exact"/>
        <w:ind w:firstLine="472" w:firstLineChars="196"/>
        <w:rPr>
          <w:rFonts w:ascii="仿宋" w:eastAsia="仿宋"/>
          <w:color w:val="auto"/>
          <w:sz w:val="24"/>
          <w:szCs w:val="24"/>
        </w:rPr>
      </w:pPr>
      <w:bookmarkStart w:id="50" w:name="_Toc101250646"/>
      <w:bookmarkStart w:id="51" w:name="_Toc209847069"/>
      <w:bookmarkStart w:id="52" w:name="_Toc101338364"/>
      <w:bookmarkStart w:id="53" w:name="_Toc101174151"/>
      <w:bookmarkStart w:id="54" w:name="_Toc430773927"/>
      <w:r>
        <w:rPr>
          <w:rFonts w:hint="eastAsia" w:ascii="仿宋" w:eastAsia="仿宋"/>
          <w:color w:val="auto"/>
          <w:sz w:val="24"/>
          <w:szCs w:val="24"/>
        </w:rPr>
        <w:t>25.签订合同</w:t>
      </w:r>
      <w:bookmarkEnd w:id="50"/>
      <w:bookmarkEnd w:id="51"/>
      <w:bookmarkEnd w:id="52"/>
      <w:bookmarkEnd w:id="53"/>
      <w:bookmarkEnd w:id="54"/>
    </w:p>
    <w:p>
      <w:pPr>
        <w:spacing w:line="400" w:lineRule="exact"/>
        <w:ind w:firstLine="480" w:firstLineChars="200"/>
        <w:rPr>
          <w:rFonts w:ascii="仿宋" w:eastAsia="仿宋"/>
          <w:color w:val="auto"/>
          <w:sz w:val="24"/>
        </w:rPr>
      </w:pPr>
      <w:r>
        <w:rPr>
          <w:rFonts w:hint="eastAsia" w:ascii="仿宋" w:eastAsia="仿宋"/>
          <w:color w:val="auto"/>
          <w:sz w:val="24"/>
        </w:rPr>
        <w:t>25.1 成交供应商应在成交通知书发出之日起三十日内与采购</w:t>
      </w:r>
      <w:r>
        <w:rPr>
          <w:rFonts w:hint="eastAsia" w:ascii="仿宋" w:eastAsia="仿宋"/>
          <w:color w:val="auto"/>
          <w:sz w:val="24"/>
          <w:szCs w:val="24"/>
        </w:rPr>
        <w:t>需求部门</w:t>
      </w:r>
      <w:r>
        <w:rPr>
          <w:rFonts w:hint="eastAsia" w:ascii="仿宋" w:eastAsia="仿宋"/>
          <w:color w:val="auto"/>
          <w:sz w:val="24"/>
        </w:rPr>
        <w:t>签订采购合同。由于成交供应商的原因逾期未与采购</w:t>
      </w:r>
      <w:r>
        <w:rPr>
          <w:rFonts w:hint="eastAsia" w:ascii="仿宋" w:eastAsia="仿宋"/>
          <w:color w:val="auto"/>
          <w:sz w:val="24"/>
          <w:szCs w:val="24"/>
        </w:rPr>
        <w:t>需求部门</w:t>
      </w:r>
      <w:r>
        <w:rPr>
          <w:rFonts w:hint="eastAsia" w:ascii="仿宋" w:eastAsia="仿宋"/>
          <w:color w:val="auto"/>
          <w:sz w:val="24"/>
        </w:rPr>
        <w:t>签订采购合同的，将视为放弃成交，取消其成交资格并将按相关规定进行处理。</w:t>
      </w:r>
    </w:p>
    <w:p>
      <w:pPr>
        <w:spacing w:line="400" w:lineRule="exact"/>
        <w:ind w:firstLine="480" w:firstLineChars="200"/>
        <w:rPr>
          <w:rFonts w:ascii="仿宋" w:eastAsia="仿宋"/>
          <w:color w:val="auto"/>
          <w:sz w:val="24"/>
        </w:rPr>
      </w:pPr>
      <w:r>
        <w:rPr>
          <w:rFonts w:hint="eastAsia" w:ascii="仿宋" w:eastAsia="仿宋"/>
          <w:color w:val="auto"/>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auto"/>
          <w:sz w:val="24"/>
        </w:rPr>
      </w:pPr>
      <w:r>
        <w:rPr>
          <w:rFonts w:hint="eastAsia" w:ascii="仿宋" w:eastAsia="仿宋"/>
          <w:color w:val="auto"/>
          <w:sz w:val="24"/>
        </w:rPr>
        <w:t>25.3 采购</w:t>
      </w:r>
      <w:r>
        <w:rPr>
          <w:rFonts w:hint="eastAsia" w:ascii="仿宋" w:eastAsia="仿宋"/>
          <w:color w:val="auto"/>
          <w:sz w:val="24"/>
          <w:szCs w:val="24"/>
        </w:rPr>
        <w:t>需求部门</w:t>
      </w:r>
      <w:r>
        <w:rPr>
          <w:rFonts w:hint="eastAsia" w:ascii="仿宋" w:eastAsia="仿宋"/>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auto"/>
          <w:sz w:val="24"/>
        </w:rPr>
      </w:pPr>
      <w:r>
        <w:rPr>
          <w:rFonts w:hint="eastAsia" w:ascii="仿宋" w:eastAsia="仿宋"/>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auto"/>
          <w:sz w:val="24"/>
        </w:rPr>
      </w:pPr>
      <w:r>
        <w:rPr>
          <w:rFonts w:hint="eastAsia" w:ascii="仿宋" w:eastAsia="仿宋"/>
          <w:color w:val="auto"/>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auto"/>
          <w:sz w:val="24"/>
        </w:rPr>
      </w:pPr>
    </w:p>
    <w:p>
      <w:pPr>
        <w:spacing w:line="400" w:lineRule="exact"/>
        <w:ind w:firstLine="482" w:firstLineChars="200"/>
        <w:rPr>
          <w:rFonts w:ascii="仿宋" w:eastAsia="仿宋"/>
          <w:b/>
          <w:color w:val="auto"/>
          <w:sz w:val="24"/>
        </w:rPr>
      </w:pPr>
      <w:r>
        <w:rPr>
          <w:rFonts w:hint="eastAsia" w:ascii="仿宋" w:eastAsia="仿宋"/>
          <w:b/>
          <w:color w:val="auto"/>
          <w:sz w:val="24"/>
        </w:rPr>
        <w:t>26.合同分包（实质性要求）</w:t>
      </w:r>
    </w:p>
    <w:p>
      <w:pPr>
        <w:spacing w:line="400" w:lineRule="exact"/>
        <w:ind w:firstLine="480" w:firstLineChars="200"/>
        <w:rPr>
          <w:rFonts w:ascii="仿宋" w:eastAsia="仿宋"/>
          <w:color w:val="auto"/>
          <w:sz w:val="24"/>
        </w:rPr>
      </w:pPr>
      <w:r>
        <w:rPr>
          <w:rFonts w:hint="eastAsia" w:ascii="仿宋" w:eastAsia="仿宋"/>
          <w:color w:val="auto"/>
          <w:sz w:val="24"/>
        </w:rPr>
        <w:t>本项目合同接受分包与否，以“供应商须知附表”勾选项为准。</w:t>
      </w:r>
    </w:p>
    <w:p>
      <w:pPr>
        <w:spacing w:line="400" w:lineRule="exact"/>
        <w:ind w:firstLine="480" w:firstLineChars="200"/>
        <w:rPr>
          <w:rFonts w:ascii="仿宋" w:eastAsia="仿宋"/>
          <w:color w:val="auto"/>
          <w:sz w:val="24"/>
        </w:rPr>
      </w:pPr>
    </w:p>
    <w:p>
      <w:pPr>
        <w:spacing w:line="400" w:lineRule="exact"/>
        <w:ind w:firstLine="482" w:firstLineChars="200"/>
        <w:rPr>
          <w:rFonts w:ascii="仿宋" w:eastAsia="仿宋"/>
          <w:b/>
          <w:color w:val="auto"/>
          <w:sz w:val="24"/>
        </w:rPr>
      </w:pPr>
      <w:r>
        <w:rPr>
          <w:rFonts w:hint="eastAsia" w:ascii="仿宋" w:eastAsia="仿宋"/>
          <w:b/>
          <w:color w:val="auto"/>
          <w:sz w:val="24"/>
        </w:rPr>
        <w:t>27.合同转包（实质性要求）</w:t>
      </w:r>
    </w:p>
    <w:p>
      <w:pPr>
        <w:spacing w:line="400" w:lineRule="exact"/>
        <w:ind w:firstLine="480" w:firstLineChars="200"/>
        <w:rPr>
          <w:rFonts w:ascii="仿宋" w:eastAsia="仿宋"/>
          <w:color w:val="auto"/>
          <w:sz w:val="24"/>
        </w:rPr>
      </w:pPr>
      <w:r>
        <w:rPr>
          <w:rFonts w:hint="eastAsia" w:asci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auto"/>
          <w:sz w:val="24"/>
        </w:rPr>
      </w:pPr>
      <w:r>
        <w:rPr>
          <w:rFonts w:hint="eastAsia" w:ascii="仿宋" w:eastAsia="仿宋"/>
          <w:color w:val="auto"/>
          <w:sz w:val="24"/>
        </w:rPr>
        <w:t>成交供应商转包的，视同拒绝履行采购合同义务，将依法追究法律责任。</w:t>
      </w:r>
    </w:p>
    <w:p>
      <w:pPr>
        <w:spacing w:line="400" w:lineRule="exact"/>
        <w:ind w:firstLine="480" w:firstLineChars="200"/>
        <w:rPr>
          <w:rFonts w:ascii="仿宋" w:eastAsia="仿宋"/>
          <w:color w:val="auto"/>
          <w:sz w:val="24"/>
        </w:rPr>
      </w:pPr>
    </w:p>
    <w:p>
      <w:pPr>
        <w:spacing w:line="400" w:lineRule="exact"/>
        <w:ind w:firstLine="482" w:firstLineChars="200"/>
        <w:rPr>
          <w:rFonts w:ascii="仿宋" w:eastAsia="仿宋"/>
          <w:b/>
          <w:color w:val="auto"/>
          <w:sz w:val="24"/>
        </w:rPr>
      </w:pPr>
      <w:r>
        <w:rPr>
          <w:rFonts w:ascii="仿宋" w:eastAsia="仿宋"/>
          <w:b/>
          <w:color w:val="auto"/>
          <w:sz w:val="24"/>
        </w:rPr>
        <w:t>2</w:t>
      </w:r>
      <w:r>
        <w:rPr>
          <w:rFonts w:hint="eastAsia" w:ascii="仿宋" w:eastAsia="仿宋"/>
          <w:b/>
          <w:color w:val="auto"/>
          <w:sz w:val="24"/>
        </w:rPr>
        <w:t>8.补充合同</w:t>
      </w:r>
    </w:p>
    <w:p>
      <w:pPr>
        <w:spacing w:line="400" w:lineRule="exact"/>
        <w:ind w:firstLine="480" w:firstLineChars="200"/>
        <w:rPr>
          <w:rFonts w:ascii="仿宋" w:eastAsia="仿宋"/>
          <w:color w:val="auto"/>
          <w:sz w:val="24"/>
        </w:rPr>
      </w:pPr>
      <w:r>
        <w:rPr>
          <w:rFonts w:hint="eastAsia" w:ascii="仿宋" w:eastAsia="仿宋"/>
          <w:color w:val="auto"/>
          <w:sz w:val="24"/>
        </w:rPr>
        <w:t>采购合同履行过程中，采购</w:t>
      </w:r>
      <w:r>
        <w:rPr>
          <w:rFonts w:hint="eastAsia" w:ascii="仿宋" w:eastAsia="仿宋"/>
          <w:color w:val="auto"/>
          <w:sz w:val="24"/>
          <w:szCs w:val="24"/>
        </w:rPr>
        <w:t>需求部门</w:t>
      </w:r>
      <w:r>
        <w:rPr>
          <w:rFonts w:hint="eastAsia" w:asci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auto"/>
          <w:sz w:val="24"/>
        </w:rPr>
      </w:pPr>
    </w:p>
    <w:p>
      <w:pPr>
        <w:spacing w:line="400" w:lineRule="exact"/>
        <w:ind w:firstLine="482" w:firstLineChars="200"/>
        <w:rPr>
          <w:rFonts w:ascii="仿宋" w:eastAsia="仿宋"/>
          <w:b/>
          <w:color w:val="auto"/>
          <w:sz w:val="24"/>
        </w:rPr>
      </w:pPr>
      <w:r>
        <w:rPr>
          <w:rFonts w:hint="eastAsia" w:ascii="仿宋" w:eastAsia="仿宋"/>
          <w:b/>
          <w:color w:val="auto"/>
          <w:sz w:val="24"/>
        </w:rPr>
        <w:t>29.履行合同</w:t>
      </w:r>
    </w:p>
    <w:p>
      <w:pPr>
        <w:spacing w:line="400" w:lineRule="exact"/>
        <w:ind w:firstLine="480" w:firstLineChars="200"/>
        <w:rPr>
          <w:rFonts w:ascii="仿宋" w:eastAsia="仿宋"/>
          <w:color w:val="auto"/>
          <w:sz w:val="24"/>
        </w:rPr>
      </w:pPr>
      <w:r>
        <w:rPr>
          <w:rFonts w:hint="eastAsia" w:ascii="仿宋" w:eastAsia="仿宋"/>
          <w:color w:val="auto"/>
          <w:sz w:val="24"/>
        </w:rPr>
        <w:t>29.1 成交供应商与采购</w:t>
      </w:r>
      <w:r>
        <w:rPr>
          <w:rFonts w:hint="eastAsia" w:ascii="仿宋" w:eastAsia="仿宋"/>
          <w:color w:val="auto"/>
          <w:sz w:val="24"/>
          <w:szCs w:val="24"/>
        </w:rPr>
        <w:t>需求部门</w:t>
      </w:r>
      <w:r>
        <w:rPr>
          <w:rFonts w:hint="eastAsia" w:ascii="仿宋" w:eastAsia="仿宋"/>
          <w:color w:val="auto"/>
          <w:sz w:val="24"/>
        </w:rPr>
        <w:t>签订合同后，合同双方应严格执行合同条款，履行合同规定的义务，保证合同的顺利完成。</w:t>
      </w:r>
    </w:p>
    <w:p>
      <w:pPr>
        <w:spacing w:line="400" w:lineRule="exact"/>
        <w:ind w:firstLine="480" w:firstLineChars="200"/>
        <w:rPr>
          <w:rFonts w:ascii="仿宋" w:eastAsia="仿宋"/>
          <w:color w:val="auto"/>
          <w:sz w:val="24"/>
        </w:rPr>
      </w:pPr>
      <w:r>
        <w:rPr>
          <w:rFonts w:hint="eastAsia" w:ascii="仿宋" w:eastAsia="仿宋"/>
          <w:color w:val="auto"/>
          <w:sz w:val="24"/>
        </w:rPr>
        <w:t>29.2 在合同履行过程中，如发生合同纠纷，合同双方应按照《中华人民共和国民法典》的有关规定进行处理。</w:t>
      </w:r>
    </w:p>
    <w:p>
      <w:pPr>
        <w:spacing w:line="400" w:lineRule="exact"/>
        <w:ind w:firstLine="480" w:firstLineChars="200"/>
        <w:rPr>
          <w:rFonts w:ascii="仿宋" w:eastAsia="仿宋"/>
          <w:color w:val="auto"/>
          <w:sz w:val="24"/>
        </w:rPr>
      </w:pPr>
    </w:p>
    <w:p>
      <w:pPr>
        <w:spacing w:line="400" w:lineRule="exact"/>
        <w:ind w:firstLine="482" w:firstLineChars="200"/>
        <w:rPr>
          <w:rFonts w:ascii="仿宋" w:eastAsia="仿宋"/>
          <w:b/>
          <w:color w:val="auto"/>
          <w:sz w:val="24"/>
        </w:rPr>
      </w:pPr>
      <w:r>
        <w:rPr>
          <w:rFonts w:hint="eastAsia" w:ascii="仿宋" w:eastAsia="仿宋"/>
          <w:b/>
          <w:color w:val="auto"/>
          <w:sz w:val="24"/>
        </w:rPr>
        <w:t>30.验收</w:t>
      </w:r>
    </w:p>
    <w:p>
      <w:pPr>
        <w:spacing w:line="400" w:lineRule="exact"/>
        <w:ind w:firstLine="480"/>
        <w:rPr>
          <w:rFonts w:ascii="仿宋" w:eastAsia="仿宋"/>
          <w:color w:val="auto"/>
          <w:sz w:val="24"/>
        </w:rPr>
      </w:pPr>
      <w:r>
        <w:rPr>
          <w:rFonts w:hint="eastAsia" w:ascii="仿宋" w:eastAsia="仿宋"/>
          <w:color w:val="auto"/>
          <w:sz w:val="24"/>
        </w:rPr>
        <w:t>30.1本项目采购需求部门及采购组织部门将严格按照有关履约验收制度规定的要求进行验收。</w:t>
      </w:r>
    </w:p>
    <w:p>
      <w:pPr>
        <w:spacing w:line="400" w:lineRule="exact"/>
        <w:ind w:firstLine="480" w:firstLineChars="200"/>
        <w:rPr>
          <w:rFonts w:ascii="仿宋" w:eastAsia="仿宋"/>
          <w:color w:val="auto"/>
          <w:sz w:val="24"/>
        </w:rPr>
      </w:pPr>
      <w:r>
        <w:rPr>
          <w:rFonts w:hint="eastAsia" w:ascii="仿宋" w:eastAsia="仿宋"/>
          <w:color w:val="auto"/>
          <w:sz w:val="24"/>
        </w:rPr>
        <w:t>33.2 验收结果合格的，成交供应商凭验收报告办理相关手续。</w:t>
      </w:r>
    </w:p>
    <w:p>
      <w:pPr>
        <w:spacing w:line="400" w:lineRule="exact"/>
        <w:rPr>
          <w:rFonts w:ascii="仿宋" w:eastAsia="仿宋"/>
          <w:color w:val="auto"/>
          <w:sz w:val="24"/>
        </w:rPr>
      </w:pPr>
    </w:p>
    <w:p>
      <w:pPr>
        <w:spacing w:line="400" w:lineRule="exact"/>
        <w:ind w:firstLine="482" w:firstLineChars="200"/>
        <w:rPr>
          <w:rFonts w:ascii="仿宋" w:eastAsia="仿宋"/>
          <w:b/>
          <w:color w:val="auto"/>
          <w:sz w:val="24"/>
        </w:rPr>
      </w:pPr>
      <w:r>
        <w:rPr>
          <w:rFonts w:hint="eastAsia" w:ascii="仿宋" w:eastAsia="仿宋"/>
          <w:b/>
          <w:color w:val="auto"/>
          <w:sz w:val="24"/>
        </w:rPr>
        <w:t>31.资金支付</w:t>
      </w:r>
    </w:p>
    <w:p>
      <w:pPr>
        <w:spacing w:line="400" w:lineRule="exact"/>
        <w:ind w:firstLine="480" w:firstLineChars="200"/>
        <w:rPr>
          <w:rFonts w:ascii="仿宋" w:eastAsia="仿宋"/>
          <w:color w:val="auto"/>
          <w:sz w:val="24"/>
        </w:rPr>
      </w:pPr>
      <w:r>
        <w:rPr>
          <w:rFonts w:hint="eastAsia" w:ascii="仿宋" w:eastAsia="仿宋"/>
          <w:color w:val="auto"/>
          <w:sz w:val="24"/>
        </w:rPr>
        <w:t>采购</w:t>
      </w:r>
      <w:r>
        <w:rPr>
          <w:rFonts w:hint="eastAsia" w:ascii="仿宋" w:eastAsia="仿宋"/>
          <w:color w:val="auto"/>
          <w:sz w:val="24"/>
          <w:szCs w:val="24"/>
        </w:rPr>
        <w:t>需求部门</w:t>
      </w:r>
      <w:r>
        <w:rPr>
          <w:rFonts w:hint="eastAsia" w:ascii="仿宋" w:eastAsia="仿宋"/>
          <w:color w:val="auto"/>
          <w:sz w:val="24"/>
        </w:rPr>
        <w:t>将按照采购合同规定，及时向成交供应商支付采购资金。</w:t>
      </w:r>
    </w:p>
    <w:p>
      <w:pPr>
        <w:spacing w:line="401" w:lineRule="auto"/>
        <w:jc w:val="center"/>
        <w:rPr>
          <w:rFonts w:ascii="Times New Roman" w:hAnsi="Times New Roman" w:eastAsia="仿宋" w:cs="Times New Roman"/>
          <w:b/>
          <w:color w:val="auto"/>
          <w:sz w:val="32"/>
          <w:szCs w:val="32"/>
        </w:rPr>
      </w:pPr>
    </w:p>
    <w:p>
      <w:pPr>
        <w:pStyle w:val="4"/>
        <w:spacing w:line="400" w:lineRule="exact"/>
        <w:jc w:val="center"/>
        <w:rPr>
          <w:rFonts w:ascii="仿宋" w:eastAsia="仿宋"/>
          <w:color w:val="auto"/>
          <w:sz w:val="24"/>
        </w:rPr>
      </w:pPr>
      <w:r>
        <w:rPr>
          <w:rFonts w:hint="eastAsia" w:ascii="仿宋" w:eastAsia="仿宋"/>
          <w:color w:val="auto"/>
        </w:rPr>
        <w:t>八、磋商纪律要求</w:t>
      </w:r>
    </w:p>
    <w:p>
      <w:pPr>
        <w:tabs>
          <w:tab w:val="left" w:pos="851"/>
        </w:tabs>
        <w:spacing w:line="360" w:lineRule="auto"/>
        <w:ind w:firstLine="482" w:firstLineChars="200"/>
        <w:rPr>
          <w:rFonts w:ascii="仿宋" w:eastAsia="仿宋"/>
          <w:b/>
          <w:color w:val="auto"/>
          <w:sz w:val="24"/>
        </w:rPr>
      </w:pPr>
      <w:r>
        <w:rPr>
          <w:rFonts w:hint="eastAsia" w:ascii="仿宋" w:eastAsia="仿宋"/>
          <w:b/>
          <w:color w:val="auto"/>
          <w:sz w:val="24"/>
        </w:rPr>
        <w:t>32.供应商不得具有的情形</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供应商参加本项目磋商不得有下列情形：</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（1）提供虚假材料谋取成交；</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（2）采取不正当手段诋毁、排挤其他供应商；</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（3）与采购</w:t>
      </w:r>
      <w:r>
        <w:rPr>
          <w:rFonts w:hint="eastAsia" w:ascii="仿宋" w:eastAsia="仿宋"/>
          <w:color w:val="auto"/>
          <w:sz w:val="24"/>
          <w:szCs w:val="24"/>
        </w:rPr>
        <w:t>需求部门</w:t>
      </w:r>
      <w:r>
        <w:rPr>
          <w:rFonts w:hint="eastAsia" w:ascii="仿宋" w:eastAsia="仿宋"/>
          <w:color w:val="auto"/>
          <w:sz w:val="24"/>
        </w:rPr>
        <w:t>、采购组织部门</w:t>
      </w:r>
      <w:r>
        <w:rPr>
          <w:rFonts w:hint="eastAsia" w:ascii="仿宋" w:eastAsia="仿宋"/>
          <w:color w:val="auto"/>
          <w:sz w:val="24"/>
          <w:lang w:eastAsia="zh-CN"/>
        </w:rPr>
        <w:t>或</w:t>
      </w:r>
      <w:r>
        <w:rPr>
          <w:rFonts w:hint="eastAsia" w:ascii="仿宋" w:eastAsia="仿宋"/>
          <w:color w:val="auto"/>
          <w:sz w:val="24"/>
        </w:rPr>
        <w:t>其他供应商恶意串通；</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（4）向采购</w:t>
      </w:r>
      <w:r>
        <w:rPr>
          <w:rFonts w:hint="eastAsia" w:ascii="仿宋" w:eastAsia="仿宋"/>
          <w:color w:val="auto"/>
          <w:sz w:val="24"/>
          <w:szCs w:val="24"/>
        </w:rPr>
        <w:t>需求部门</w:t>
      </w:r>
      <w:r>
        <w:rPr>
          <w:rFonts w:hint="eastAsia" w:ascii="仿宋" w:eastAsia="仿宋"/>
          <w:color w:val="auto"/>
          <w:sz w:val="24"/>
        </w:rPr>
        <w:t>、采购组织部门、磋商小组成员行贿或者提供其他不正当利益；</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（5）在磋商过程中与采购</w:t>
      </w:r>
      <w:r>
        <w:rPr>
          <w:rFonts w:hint="eastAsia" w:ascii="仿宋" w:eastAsia="仿宋"/>
          <w:color w:val="auto"/>
          <w:sz w:val="24"/>
          <w:szCs w:val="24"/>
        </w:rPr>
        <w:t>需求部门</w:t>
      </w:r>
      <w:r>
        <w:rPr>
          <w:rFonts w:hint="eastAsia" w:ascii="仿宋" w:eastAsia="仿宋"/>
          <w:color w:val="auto"/>
          <w:sz w:val="24"/>
        </w:rPr>
        <w:t>、采购组织部门进行协商；</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（6）成交后无正当理由拒不与采购</w:t>
      </w:r>
      <w:r>
        <w:rPr>
          <w:rFonts w:hint="eastAsia" w:ascii="仿宋" w:eastAsia="仿宋"/>
          <w:color w:val="auto"/>
          <w:sz w:val="24"/>
          <w:szCs w:val="24"/>
        </w:rPr>
        <w:t>需求部门</w:t>
      </w:r>
      <w:r>
        <w:rPr>
          <w:rFonts w:hint="eastAsia" w:ascii="仿宋" w:eastAsia="仿宋"/>
          <w:color w:val="auto"/>
          <w:sz w:val="24"/>
        </w:rPr>
        <w:t>签订采购合同；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（7）未按照磋商文件确定的事项签订采购合同；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（8）将采购合同转包或者违规分包；</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（9）提供假冒伪劣产品；</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（10）擅自变更、中止或者终止采购合同；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（11）法律法规规定的其他情形。</w:t>
      </w:r>
    </w:p>
    <w:p>
      <w:pPr>
        <w:tabs>
          <w:tab w:val="left" w:pos="851"/>
        </w:tabs>
        <w:spacing w:line="360" w:lineRule="auto"/>
        <w:ind w:firstLine="480" w:firstLineChars="200"/>
        <w:jc w:val="left"/>
        <w:rPr>
          <w:rFonts w:ascii="仿宋" w:eastAsia="仿宋"/>
          <w:b/>
          <w:color w:val="auto"/>
          <w:sz w:val="32"/>
          <w:szCs w:val="32"/>
        </w:rPr>
      </w:pPr>
      <w:r>
        <w:rPr>
          <w:rFonts w:hint="eastAsia" w:ascii="仿宋" w:eastAsia="仿宋"/>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auto"/>
          <w:sz w:val="32"/>
          <w:szCs w:val="32"/>
        </w:rPr>
      </w:pPr>
      <w:r>
        <w:rPr>
          <w:rFonts w:hint="eastAsia" w:ascii="仿宋" w:eastAsia="仿宋"/>
          <w:b/>
          <w:color w:val="auto"/>
          <w:sz w:val="32"/>
          <w:szCs w:val="32"/>
        </w:rPr>
        <w:t>九、其他</w:t>
      </w:r>
    </w:p>
    <w:p>
      <w:pPr>
        <w:spacing w:line="360" w:lineRule="auto"/>
        <w:ind w:firstLine="480" w:firstLineChars="200"/>
        <w:rPr>
          <w:rFonts w:ascii="仿宋" w:eastAsia="仿宋"/>
          <w:color w:val="auto"/>
          <w:sz w:val="24"/>
        </w:rPr>
      </w:pPr>
      <w:r>
        <w:rPr>
          <w:rFonts w:hint="eastAsia" w:ascii="仿宋" w:eastAsia="仿宋"/>
          <w:color w:val="auto"/>
          <w:sz w:val="24"/>
        </w:rPr>
        <w:t xml:space="preserve"> </w:t>
      </w:r>
      <w:r>
        <w:rPr>
          <w:rFonts w:ascii="仿宋" w:eastAsia="仿宋"/>
          <w:color w:val="auto"/>
          <w:sz w:val="24"/>
        </w:rPr>
        <w:t>3</w:t>
      </w:r>
      <w:r>
        <w:rPr>
          <w:rFonts w:hint="eastAsia" w:ascii="仿宋" w:eastAsia="仿宋"/>
          <w:color w:val="auto"/>
          <w:sz w:val="24"/>
        </w:rPr>
        <w:t>3.</w:t>
      </w:r>
      <w:r>
        <w:rPr>
          <w:rFonts w:hint="eastAsia" w:ascii="仿宋" w:eastAsia="仿宋"/>
          <w:b/>
          <w:color w:val="auto"/>
          <w:sz w:val="24"/>
        </w:rPr>
        <w:t>（实质性要求）</w:t>
      </w:r>
      <w:r>
        <w:rPr>
          <w:rFonts w:hint="eastAsia" w:ascii="仿宋" w:eastAsia="仿宋"/>
          <w:color w:val="auto"/>
          <w:sz w:val="24"/>
        </w:rPr>
        <w:t>在本次递交响应文件之前一周年内，供应商本次</w:t>
      </w:r>
      <w:r>
        <w:rPr>
          <w:rFonts w:hint="eastAsia" w:ascii="仿宋" w:eastAsia="仿宋"/>
          <w:color w:val="auto"/>
          <w:sz w:val="24"/>
          <w:lang w:val="en-US" w:eastAsia="zh-CN"/>
        </w:rPr>
        <w:t>磋商</w:t>
      </w:r>
      <w:r>
        <w:rPr>
          <w:rFonts w:hint="eastAsia" w:ascii="仿宋" w:eastAsia="仿宋"/>
          <w:color w:val="auto"/>
          <w:sz w:val="24"/>
        </w:rPr>
        <w:t>采购中对同一品牌同一型号的产品报价与其在中国境内其他地方的最低报价相比不得高于</w:t>
      </w:r>
      <w:r>
        <w:rPr>
          <w:rFonts w:hint="eastAsia" w:ascii="仿宋" w:eastAsia="仿宋"/>
          <w:color w:val="auto"/>
          <w:sz w:val="24"/>
          <w:lang w:val="zh-CN"/>
        </w:rPr>
        <w:t>20%</w:t>
      </w:r>
      <w:r>
        <w:rPr>
          <w:rFonts w:hint="eastAsia" w:ascii="仿宋" w:eastAsia="仿宋"/>
          <w:color w:val="auto"/>
          <w:sz w:val="24"/>
        </w:rPr>
        <w:t>。</w:t>
      </w:r>
    </w:p>
    <w:p>
      <w:pPr>
        <w:spacing w:line="360" w:lineRule="auto"/>
        <w:ind w:firstLine="480" w:firstLineChars="200"/>
        <w:rPr>
          <w:rFonts w:ascii="仿宋" w:eastAsia="仿宋"/>
          <w:color w:val="auto"/>
        </w:rPr>
      </w:pPr>
      <w:r>
        <w:rPr>
          <w:rFonts w:hint="eastAsia" w:ascii="仿宋" w:eastAsia="仿宋"/>
          <w:color w:val="auto"/>
          <w:sz w:val="24"/>
        </w:rPr>
        <w:t>34.</w:t>
      </w:r>
      <w:r>
        <w:rPr>
          <w:rFonts w:hint="eastAsia" w:ascii="仿宋" w:eastAsia="仿宋"/>
          <w:b/>
          <w:color w:val="auto"/>
          <w:sz w:val="24"/>
        </w:rPr>
        <w:t>（实质性要求）</w:t>
      </w:r>
      <w:r>
        <w:rPr>
          <w:rFonts w:ascii="仿宋" w:eastAsia="仿宋"/>
          <w:color w:val="auto"/>
          <w:sz w:val="24"/>
        </w:rPr>
        <w:t>国家</w:t>
      </w:r>
      <w:r>
        <w:rPr>
          <w:rFonts w:hint="eastAsia" w:ascii="仿宋" w:eastAsia="仿宋"/>
          <w:color w:val="auto"/>
          <w:sz w:val="24"/>
        </w:rPr>
        <w:t>或行业主管部门</w:t>
      </w:r>
      <w:r>
        <w:rPr>
          <w:rFonts w:ascii="仿宋" w:eastAsia="仿宋"/>
          <w:color w:val="auto"/>
          <w:sz w:val="24"/>
        </w:rPr>
        <w:t>对</w:t>
      </w:r>
      <w:r>
        <w:rPr>
          <w:rFonts w:hint="eastAsia" w:ascii="仿宋" w:eastAsia="仿宋"/>
          <w:color w:val="auto"/>
          <w:sz w:val="24"/>
        </w:rPr>
        <w:t>采购产品的</w:t>
      </w:r>
      <w:r>
        <w:rPr>
          <w:rFonts w:ascii="仿宋" w:eastAsia="仿宋"/>
          <w:color w:val="auto"/>
          <w:sz w:val="24"/>
        </w:rPr>
        <w:t>技术</w:t>
      </w:r>
      <w:r>
        <w:rPr>
          <w:rFonts w:hint="eastAsia" w:ascii="仿宋" w:eastAsia="仿宋"/>
          <w:color w:val="auto"/>
          <w:sz w:val="24"/>
        </w:rPr>
        <w:t>标准、</w:t>
      </w:r>
      <w:r>
        <w:rPr>
          <w:rFonts w:ascii="仿宋" w:eastAsia="仿宋"/>
          <w:color w:val="auto"/>
          <w:sz w:val="24"/>
        </w:rPr>
        <w:t>质量</w:t>
      </w:r>
      <w:r>
        <w:rPr>
          <w:rFonts w:hint="eastAsia" w:ascii="仿宋" w:eastAsia="仿宋"/>
          <w:color w:val="auto"/>
          <w:sz w:val="24"/>
        </w:rPr>
        <w:t>标准和资格资质条件</w:t>
      </w:r>
      <w:r>
        <w:rPr>
          <w:rFonts w:ascii="仿宋" w:eastAsia="仿宋"/>
          <w:color w:val="auto"/>
          <w:sz w:val="24"/>
        </w:rPr>
        <w:t>等有</w:t>
      </w:r>
      <w:r>
        <w:rPr>
          <w:rFonts w:hint="eastAsia" w:ascii="仿宋" w:eastAsia="仿宋"/>
          <w:color w:val="auto"/>
          <w:sz w:val="24"/>
        </w:rPr>
        <w:t>强制性规定</w:t>
      </w:r>
      <w:r>
        <w:rPr>
          <w:rFonts w:ascii="仿宋" w:eastAsia="仿宋"/>
          <w:color w:val="auto"/>
          <w:sz w:val="24"/>
        </w:rPr>
        <w:t>的</w:t>
      </w:r>
      <w:r>
        <w:rPr>
          <w:rFonts w:hint="eastAsia" w:ascii="仿宋" w:eastAsia="仿宋"/>
          <w:color w:val="auto"/>
          <w:sz w:val="24"/>
        </w:rPr>
        <w:t>，必须符合其要求。</w:t>
      </w:r>
      <w:bookmarkStart w:id="55" w:name="_Toc112053978"/>
      <w:bookmarkStart w:id="56" w:name="_Toc511210238"/>
    </w:p>
    <w:p>
      <w:pPr>
        <w:pStyle w:val="20"/>
        <w:rPr>
          <w:rFonts w:ascii="仿宋" w:eastAsia="仿宋"/>
          <w:color w:val="auto"/>
        </w:rPr>
      </w:pPr>
      <w:r>
        <w:rPr>
          <w:rFonts w:hint="eastAsia" w:ascii="仿宋" w:eastAsia="仿宋"/>
          <w:color w:val="auto"/>
        </w:rPr>
        <w:t>第三章  供应商和报价产品的资格及其他类似效力要求</w:t>
      </w:r>
      <w:bookmarkEnd w:id="55"/>
      <w:bookmarkEnd w:id="56"/>
    </w:p>
    <w:p>
      <w:pPr>
        <w:rPr>
          <w:rFonts w:ascii="仿宋" w:eastAsia="仿宋"/>
          <w:b/>
          <w:color w:val="auto"/>
          <w:sz w:val="32"/>
          <w:szCs w:val="32"/>
        </w:rPr>
      </w:pPr>
    </w:p>
    <w:p>
      <w:pPr>
        <w:ind w:firstLine="542" w:firstLineChars="225"/>
        <w:rPr>
          <w:rFonts w:ascii="仿宋" w:eastAsia="仿宋"/>
          <w:b/>
          <w:color w:val="auto"/>
          <w:sz w:val="24"/>
        </w:rPr>
      </w:pPr>
      <w:r>
        <w:rPr>
          <w:rFonts w:hint="eastAsia" w:ascii="仿宋" w:eastAsia="仿宋"/>
          <w:b/>
          <w:color w:val="auto"/>
          <w:sz w:val="24"/>
        </w:rPr>
        <w:t>参加磋商的供应商应具备下列资格条件：</w:t>
      </w:r>
    </w:p>
    <w:p>
      <w:pPr>
        <w:spacing w:line="360" w:lineRule="auto"/>
        <w:ind w:firstLine="540" w:firstLineChars="225"/>
        <w:rPr>
          <w:rFonts w:ascii="仿宋" w:eastAsia="仿宋"/>
          <w:color w:val="auto"/>
          <w:sz w:val="24"/>
        </w:rPr>
      </w:pPr>
      <w:r>
        <w:rPr>
          <w:rFonts w:hint="eastAsia" w:ascii="仿宋" w:eastAsia="仿宋"/>
          <w:color w:val="auto"/>
          <w:sz w:val="24"/>
        </w:rPr>
        <w:t>1.具有独立承担民事责任的能力；</w:t>
      </w:r>
    </w:p>
    <w:p>
      <w:pPr>
        <w:spacing w:line="360" w:lineRule="auto"/>
        <w:ind w:firstLine="540" w:firstLineChars="225"/>
        <w:rPr>
          <w:rFonts w:ascii="仿宋" w:eastAsia="仿宋"/>
          <w:color w:val="auto"/>
          <w:sz w:val="24"/>
        </w:rPr>
      </w:pPr>
      <w:r>
        <w:rPr>
          <w:rFonts w:hint="eastAsia" w:ascii="仿宋" w:eastAsia="仿宋"/>
          <w:color w:val="auto"/>
          <w:sz w:val="24"/>
        </w:rPr>
        <w:t>2.具有良好的商业信誉和健全的财务会计制度；</w:t>
      </w:r>
    </w:p>
    <w:p>
      <w:pPr>
        <w:spacing w:line="360" w:lineRule="auto"/>
        <w:ind w:firstLine="540" w:firstLineChars="225"/>
        <w:rPr>
          <w:rFonts w:ascii="仿宋" w:eastAsia="仿宋"/>
          <w:color w:val="auto"/>
          <w:sz w:val="24"/>
        </w:rPr>
      </w:pPr>
      <w:r>
        <w:rPr>
          <w:rFonts w:hint="eastAsia" w:ascii="仿宋" w:eastAsia="仿宋"/>
          <w:color w:val="auto"/>
          <w:sz w:val="24"/>
        </w:rPr>
        <w:t>3.具有履行合同所必须的设备和专业技术能力；</w:t>
      </w:r>
    </w:p>
    <w:p>
      <w:pPr>
        <w:spacing w:line="360" w:lineRule="auto"/>
        <w:ind w:firstLine="540" w:firstLineChars="225"/>
        <w:rPr>
          <w:rFonts w:ascii="仿宋" w:eastAsia="仿宋"/>
          <w:color w:val="auto"/>
          <w:sz w:val="24"/>
        </w:rPr>
      </w:pPr>
      <w:r>
        <w:rPr>
          <w:rFonts w:hint="eastAsia" w:ascii="仿宋" w:eastAsia="仿宋"/>
          <w:color w:val="auto"/>
          <w:sz w:val="24"/>
        </w:rPr>
        <w:t>4.具有依法缴纳税收和社会保障资金的良好记录；</w:t>
      </w:r>
    </w:p>
    <w:p>
      <w:pPr>
        <w:spacing w:line="360" w:lineRule="auto"/>
        <w:ind w:firstLine="540" w:firstLineChars="225"/>
        <w:rPr>
          <w:rFonts w:ascii="仿宋" w:eastAsia="仿宋"/>
          <w:color w:val="auto"/>
          <w:sz w:val="24"/>
        </w:rPr>
      </w:pPr>
      <w:r>
        <w:rPr>
          <w:rFonts w:hint="eastAsia" w:ascii="仿宋" w:eastAsia="仿宋"/>
          <w:color w:val="auto"/>
          <w:sz w:val="24"/>
        </w:rPr>
        <w:t>5.参加本次采购活动前三年内，在经营活动中没有重大违法记录</w:t>
      </w:r>
      <w:r>
        <w:rPr>
          <w:rFonts w:hint="eastAsia" w:ascii="仿宋" w:eastAsia="仿宋"/>
          <w:color w:val="auto"/>
          <w:sz w:val="24"/>
          <w:lang w:eastAsia="zh-CN"/>
        </w:rPr>
        <w:t>；</w:t>
      </w:r>
    </w:p>
    <w:p>
      <w:pPr>
        <w:spacing w:line="360" w:lineRule="auto"/>
        <w:ind w:firstLine="540" w:firstLineChars="225"/>
        <w:rPr>
          <w:rFonts w:ascii="仿宋" w:eastAsia="仿宋"/>
          <w:color w:val="auto"/>
          <w:sz w:val="24"/>
        </w:rPr>
      </w:pPr>
      <w:r>
        <w:rPr>
          <w:rFonts w:hint="eastAsia" w:ascii="仿宋" w:eastAsia="仿宋"/>
          <w:color w:val="auto"/>
          <w:sz w:val="24"/>
        </w:rPr>
        <w:t>6.符合法律、行政法规规定的其他条件；</w:t>
      </w:r>
    </w:p>
    <w:p>
      <w:pPr>
        <w:spacing w:line="360" w:lineRule="auto"/>
        <w:ind w:firstLine="540" w:firstLineChars="225"/>
        <w:rPr>
          <w:rFonts w:ascii="仿宋" w:hAnsi="Calibri" w:eastAsia="仿宋"/>
          <w:b w:val="0"/>
          <w:bCs w:val="0"/>
          <w:color w:val="auto"/>
          <w:sz w:val="24"/>
          <w:szCs w:val="22"/>
        </w:rPr>
      </w:pPr>
      <w:r>
        <w:rPr>
          <w:rFonts w:hint="eastAsia" w:ascii="仿宋" w:eastAsia="仿宋"/>
          <w:color w:val="auto"/>
          <w:sz w:val="24"/>
        </w:rPr>
        <w:t>7.根据采购项目提出的特殊条件：</w:t>
      </w:r>
      <w:r>
        <w:rPr>
          <w:rFonts w:hint="eastAsia" w:ascii="仿宋" w:hAnsi="Calibri" w:eastAsia="仿宋"/>
          <w:b w:val="0"/>
          <w:bCs w:val="0"/>
          <w:color w:val="auto"/>
          <w:sz w:val="24"/>
          <w:szCs w:val="22"/>
        </w:rPr>
        <w:t>无。</w:t>
      </w:r>
    </w:p>
    <w:p>
      <w:pPr>
        <w:pStyle w:val="4"/>
        <w:spacing w:before="0" w:after="0" w:line="360" w:lineRule="auto"/>
        <w:ind w:firstLine="560"/>
        <w:rPr>
          <w:rFonts w:ascii="仿宋" w:eastAsia="仿宋"/>
          <w:color w:val="auto"/>
          <w:sz w:val="24"/>
        </w:rPr>
      </w:pPr>
      <w:r>
        <w:rPr>
          <w:rFonts w:ascii="仿宋" w:eastAsia="仿宋"/>
          <w:b w:val="0"/>
          <w:bCs w:val="0"/>
          <w:color w:val="auto"/>
          <w:sz w:val="24"/>
        </w:rPr>
        <w:t>8.</w:t>
      </w:r>
      <w:r>
        <w:rPr>
          <w:rFonts w:hint="eastAsia" w:ascii="仿宋" w:eastAsia="仿宋"/>
          <w:b w:val="0"/>
          <w:bCs w:val="0"/>
          <w:color w:val="auto"/>
          <w:sz w:val="24"/>
        </w:rPr>
        <w:t>本</w:t>
      </w:r>
      <w:r>
        <w:rPr>
          <w:rFonts w:ascii="仿宋" w:eastAsia="仿宋"/>
          <w:b w:val="0"/>
          <w:bCs w:val="0"/>
          <w:color w:val="auto"/>
          <w:sz w:val="24"/>
        </w:rPr>
        <w:t>项目不允许</w:t>
      </w:r>
      <w:r>
        <w:rPr>
          <w:rFonts w:hint="eastAsia" w:ascii="仿宋" w:eastAsia="仿宋"/>
          <w:b w:val="0"/>
          <w:bCs w:val="0"/>
          <w:color w:val="auto"/>
          <w:sz w:val="24"/>
        </w:rPr>
        <w:t>联合体</w:t>
      </w:r>
      <w:r>
        <w:rPr>
          <w:rFonts w:ascii="仿宋" w:eastAsia="仿宋"/>
          <w:b w:val="0"/>
          <w:bCs w:val="0"/>
          <w:color w:val="auto"/>
          <w:sz w:val="24"/>
        </w:rPr>
        <w:t>参加。</w:t>
      </w:r>
    </w:p>
    <w:p>
      <w:pPr>
        <w:pStyle w:val="10"/>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4"/>
        <w:rPr>
          <w:color w:val="auto"/>
        </w:rPr>
      </w:pPr>
    </w:p>
    <w:p>
      <w:pPr>
        <w:rPr>
          <w:rFonts w:ascii="Times New Roman" w:hAnsi="Times New Roman" w:eastAsia="仿宋" w:cs="Times New Roman"/>
          <w:b/>
          <w:color w:val="auto"/>
          <w:sz w:val="32"/>
        </w:rPr>
      </w:pPr>
    </w:p>
    <w:p>
      <w:pPr>
        <w:pStyle w:val="10"/>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10"/>
        <w:rPr>
          <w:rFonts w:ascii="Times New Roman" w:hAnsi="Times New Roman" w:eastAsia="仿宋" w:cs="Times New Roman"/>
          <w:b/>
          <w:color w:val="auto"/>
          <w:sz w:val="32"/>
        </w:rPr>
      </w:pPr>
    </w:p>
    <w:p>
      <w:pPr>
        <w:rPr>
          <w:color w:val="auto"/>
        </w:rPr>
      </w:pPr>
    </w:p>
    <w:p>
      <w:pPr>
        <w:pStyle w:val="20"/>
        <w:jc w:val="both"/>
        <w:rPr>
          <w:rFonts w:ascii="仿宋" w:eastAsia="仿宋"/>
          <w:bCs w:val="0"/>
          <w:color w:val="auto"/>
        </w:rPr>
      </w:pPr>
    </w:p>
    <w:p>
      <w:pPr>
        <w:rPr>
          <w:color w:val="auto"/>
        </w:rPr>
      </w:pPr>
    </w:p>
    <w:p>
      <w:pPr>
        <w:pStyle w:val="20"/>
        <w:jc w:val="both"/>
        <w:rPr>
          <w:rFonts w:hint="eastAsia" w:ascii="仿宋" w:eastAsia="仿宋"/>
          <w:bCs w:val="0"/>
          <w:color w:val="auto"/>
        </w:rPr>
      </w:pPr>
      <w:bookmarkStart w:id="57" w:name="_Toc112053979"/>
    </w:p>
    <w:p>
      <w:pPr>
        <w:pStyle w:val="20"/>
        <w:jc w:val="both"/>
        <w:rPr>
          <w:rFonts w:hint="eastAsia" w:ascii="仿宋" w:eastAsia="仿宋"/>
          <w:bCs w:val="0"/>
          <w:color w:val="auto"/>
        </w:rPr>
      </w:pPr>
    </w:p>
    <w:p>
      <w:pPr>
        <w:pStyle w:val="20"/>
        <w:jc w:val="both"/>
        <w:rPr>
          <w:rFonts w:ascii="仿宋" w:eastAsia="仿宋"/>
          <w:bCs w:val="0"/>
          <w:color w:val="auto"/>
        </w:rPr>
      </w:pPr>
      <w:r>
        <w:rPr>
          <w:rFonts w:hint="eastAsia" w:ascii="仿宋" w:eastAsia="仿宋"/>
          <w:bCs w:val="0"/>
          <w:color w:val="auto"/>
        </w:rPr>
        <w:t>第四章  供应商应当提供的资格及其他类似效力要求的相关证明材料</w:t>
      </w:r>
      <w:bookmarkEnd w:id="57"/>
    </w:p>
    <w:p>
      <w:pPr>
        <w:ind w:firstLine="538"/>
        <w:rPr>
          <w:rFonts w:ascii="仿宋" w:eastAsia="仿宋"/>
          <w:color w:val="auto"/>
          <w:sz w:val="28"/>
          <w:szCs w:val="28"/>
        </w:rPr>
      </w:pPr>
    </w:p>
    <w:p>
      <w:pPr>
        <w:ind w:firstLine="472" w:firstLineChars="196"/>
        <w:rPr>
          <w:rFonts w:ascii="仿宋" w:eastAsia="仿宋"/>
          <w:b/>
          <w:color w:val="auto"/>
          <w:sz w:val="24"/>
        </w:rPr>
      </w:pPr>
      <w:r>
        <w:rPr>
          <w:rFonts w:ascii="仿宋" w:eastAsia="仿宋"/>
          <w:b/>
          <w:color w:val="auto"/>
          <w:sz w:val="24"/>
        </w:rPr>
        <w:t>一、</w:t>
      </w:r>
      <w:r>
        <w:rPr>
          <w:rFonts w:hint="eastAsia" w:ascii="仿宋" w:eastAsia="仿宋"/>
          <w:b/>
          <w:color w:val="auto"/>
          <w:sz w:val="24"/>
        </w:rPr>
        <w:t>应当提供的供应商资格、资质性及其他类似效力要求的相关证明材料</w:t>
      </w:r>
    </w:p>
    <w:p>
      <w:pPr>
        <w:ind w:firstLine="472" w:firstLineChars="196"/>
        <w:rPr>
          <w:rFonts w:ascii="仿宋" w:eastAsia="仿宋"/>
          <w:b/>
          <w:bCs/>
          <w:color w:val="auto"/>
          <w:sz w:val="24"/>
        </w:rPr>
      </w:pPr>
      <w:r>
        <w:rPr>
          <w:rFonts w:hint="eastAsia" w:ascii="仿宋" w:eastAsia="仿宋"/>
          <w:b/>
          <w:bCs/>
          <w:color w:val="auto"/>
          <w:sz w:val="24"/>
        </w:rPr>
        <w:t>（一）资格要求相关证明材料：</w:t>
      </w:r>
    </w:p>
    <w:p>
      <w:pPr>
        <w:spacing w:line="440" w:lineRule="exact"/>
        <w:ind w:firstLine="470" w:firstLineChars="196"/>
        <w:rPr>
          <w:rFonts w:ascii="仿宋" w:eastAsia="仿宋"/>
          <w:color w:val="auto"/>
          <w:sz w:val="24"/>
        </w:rPr>
      </w:pPr>
      <w:r>
        <w:rPr>
          <w:rFonts w:hint="eastAsia" w:asci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40" w:lineRule="exact"/>
        <w:ind w:firstLine="470" w:firstLineChars="196"/>
        <w:rPr>
          <w:rFonts w:ascii="仿宋" w:eastAsia="仿宋"/>
          <w:color w:val="auto"/>
          <w:sz w:val="24"/>
        </w:rPr>
      </w:pPr>
      <w:r>
        <w:rPr>
          <w:rFonts w:hint="eastAsia" w:ascii="仿宋" w:eastAsia="仿宋"/>
          <w:color w:val="auto"/>
          <w:sz w:val="24"/>
        </w:rPr>
        <w:t>2、供应商提供具有健全的财务会计制度的承诺函。（①供应商可提供202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年度经审计的财务报告（包含审计报告和审计报告中所涉及的财务报表和报表附注），②也可提供供应商内部的202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40" w:lineRule="exact"/>
        <w:ind w:firstLine="470" w:firstLineChars="196"/>
        <w:rPr>
          <w:rFonts w:ascii="仿宋" w:eastAsia="仿宋"/>
          <w:color w:val="auto"/>
          <w:sz w:val="24"/>
        </w:rPr>
      </w:pPr>
      <w:r>
        <w:rPr>
          <w:rFonts w:hint="eastAsia" w:ascii="仿宋" w:eastAsia="仿宋"/>
          <w:color w:val="auto"/>
          <w:sz w:val="24"/>
        </w:rPr>
        <w:t>3、具备履行合同所必需的设备和专业技术能力的证明材料（可提供承诺函，格式详见第七章）；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4、具有依法缴纳税收和社会保障资金的良好记录（可提供承诺函，格式详见第七章）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5、参加采购活动前3年内在经营活动中没有重大违法记录的承诺函（格式详见第七章）；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6、具备法律、行政法规规定的其他条件的证明材料（可提供承诺函，格式详见第七章）；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7、本项目的特定资格要求：</w:t>
      </w:r>
    </w:p>
    <w:p>
      <w:pPr>
        <w:spacing w:line="440" w:lineRule="exact"/>
        <w:ind w:firstLine="470" w:firstLineChars="196"/>
        <w:rPr>
          <w:rFonts w:ascii="仿宋" w:eastAsia="仿宋"/>
          <w:color w:val="auto"/>
          <w:sz w:val="24"/>
        </w:rPr>
      </w:pPr>
      <w:r>
        <w:rPr>
          <w:rFonts w:hint="eastAsia" w:ascii="仿宋" w:eastAsia="仿宋"/>
          <w:color w:val="auto"/>
          <w:sz w:val="24"/>
        </w:rPr>
        <w:t>无</w:t>
      </w:r>
    </w:p>
    <w:p>
      <w:pPr>
        <w:spacing w:after="50" w:line="440" w:lineRule="exact"/>
        <w:ind w:firstLine="480"/>
        <w:rPr>
          <w:rFonts w:ascii="仿宋" w:eastAsia="仿宋"/>
          <w:b/>
          <w:bCs/>
          <w:color w:val="auto"/>
          <w:sz w:val="24"/>
        </w:rPr>
      </w:pPr>
      <w:r>
        <w:rPr>
          <w:rFonts w:hint="eastAsia" w:ascii="仿宋" w:eastAsia="仿宋"/>
          <w:b/>
          <w:bCs/>
          <w:color w:val="auto"/>
          <w:sz w:val="24"/>
        </w:rPr>
        <w:t>（二）其他类似效力要求相关证明材料：</w:t>
      </w:r>
    </w:p>
    <w:p>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1</w:t>
      </w:r>
      <w:r>
        <w:rPr>
          <w:rFonts w:hint="eastAsia" w:ascii="仿宋" w:eastAsia="仿宋"/>
          <w:color w:val="auto"/>
          <w:sz w:val="24"/>
        </w:rPr>
        <w:t>）法定代表人/单位负责人身份证明材料复印件。</w:t>
      </w:r>
    </w:p>
    <w:p>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440" w:lineRule="exact"/>
        <w:rPr>
          <w:rFonts w:ascii="仿宋" w:eastAsia="仿宋"/>
          <w:b/>
          <w:bCs/>
          <w:color w:val="auto"/>
          <w:sz w:val="24"/>
        </w:rPr>
      </w:pPr>
      <w:r>
        <w:rPr>
          <w:rFonts w:hint="eastAsia" w:ascii="仿宋" w:eastAsia="仿宋"/>
          <w:b/>
          <w:bCs/>
          <w:color w:val="auto"/>
          <w:sz w:val="24"/>
        </w:rPr>
        <w:t>注：1、以上要求的资料复印件均须加盖供应商单位的公章（鲜章）。</w:t>
      </w:r>
    </w:p>
    <w:p>
      <w:pPr>
        <w:numPr>
          <w:ilvl w:val="0"/>
          <w:numId w:val="1"/>
        </w:numPr>
        <w:spacing w:line="440" w:lineRule="exact"/>
        <w:ind w:firstLine="463" w:firstLineChars="192"/>
        <w:rPr>
          <w:rFonts w:ascii="仿宋" w:eastAsia="仿宋" w:cs="宋体"/>
          <w:b/>
          <w:color w:val="auto"/>
          <w:sz w:val="24"/>
        </w:rPr>
      </w:pPr>
      <w:r>
        <w:rPr>
          <w:rFonts w:ascii="仿宋" w:eastAsia="仿宋" w:cs="宋体"/>
          <w:b/>
          <w:color w:val="auto"/>
          <w:sz w:val="24"/>
        </w:rPr>
        <w:t>根据国务院办公厅关于加快推进“多证合一”改革的指导意见（国办发</w:t>
      </w:r>
      <w:r>
        <w:rPr>
          <w:rFonts w:ascii="Times New Roman" w:hAnsi="Times New Roman" w:eastAsia="方正仿宋_GBK" w:cs="Times New Roman"/>
          <w:b/>
          <w:color w:val="auto"/>
          <w:sz w:val="24"/>
        </w:rPr>
        <w:t>〔2017〕</w:t>
      </w:r>
      <w:r>
        <w:rPr>
          <w:rFonts w:ascii="仿宋" w:eastAsia="仿宋" w:cs="宋体"/>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auto"/>
          <w:sz w:val="24"/>
        </w:rPr>
        <w:t>七</w:t>
      </w:r>
      <w:r>
        <w:rPr>
          <w:rFonts w:ascii="仿宋" w:eastAsia="仿宋" w:cs="宋体"/>
          <w:b/>
          <w:color w:val="auto"/>
          <w:sz w:val="24"/>
        </w:rPr>
        <w:t>章）。</w:t>
      </w:r>
      <w:bookmarkStart w:id="58" w:name="_Toc511210240"/>
    </w:p>
    <w:p>
      <w:pPr>
        <w:pStyle w:val="2"/>
        <w:ind w:left="0"/>
        <w:rPr>
          <w:color w:val="auto"/>
        </w:rPr>
      </w:pPr>
    </w:p>
    <w:p>
      <w:pPr>
        <w:pStyle w:val="2"/>
        <w:ind w:left="0"/>
        <w:rPr>
          <w:color w:val="auto"/>
        </w:rPr>
      </w:pPr>
    </w:p>
    <w:p>
      <w:pPr>
        <w:pStyle w:val="2"/>
        <w:ind w:left="0"/>
        <w:rPr>
          <w:color w:val="auto"/>
        </w:rPr>
      </w:pPr>
    </w:p>
    <w:p>
      <w:pPr>
        <w:pStyle w:val="2"/>
        <w:ind w:left="0"/>
        <w:rPr>
          <w:color w:val="auto"/>
        </w:rPr>
      </w:pPr>
    </w:p>
    <w:p>
      <w:pPr>
        <w:pStyle w:val="20"/>
        <w:jc w:val="both"/>
        <w:rPr>
          <w:rFonts w:ascii="仿宋" w:eastAsia="仿宋"/>
          <w:color w:val="auto"/>
        </w:rPr>
      </w:pPr>
      <w:bookmarkStart w:id="59" w:name="_Toc112053980"/>
    </w:p>
    <w:p>
      <w:pPr>
        <w:rPr>
          <w:color w:val="auto"/>
        </w:rPr>
      </w:pPr>
    </w:p>
    <w:p>
      <w:pPr>
        <w:pStyle w:val="2"/>
        <w:rPr>
          <w:color w:val="auto"/>
        </w:rPr>
      </w:pPr>
    </w:p>
    <w:p>
      <w:pPr>
        <w:pStyle w:val="20"/>
        <w:rPr>
          <w:rFonts w:hint="eastAsia" w:ascii="仿宋" w:eastAsia="仿宋"/>
          <w:color w:val="auto"/>
        </w:rPr>
      </w:pPr>
    </w:p>
    <w:p>
      <w:pPr>
        <w:pStyle w:val="20"/>
        <w:rPr>
          <w:rFonts w:hint="eastAsia" w:ascii="仿宋" w:eastAsia="仿宋"/>
          <w:color w:val="auto"/>
        </w:rPr>
      </w:pPr>
    </w:p>
    <w:p>
      <w:pPr>
        <w:pStyle w:val="20"/>
        <w:rPr>
          <w:rFonts w:hint="eastAsia" w:ascii="仿宋" w:eastAsia="仿宋"/>
          <w:color w:val="auto"/>
        </w:rPr>
      </w:pPr>
    </w:p>
    <w:p>
      <w:pPr>
        <w:pStyle w:val="20"/>
        <w:rPr>
          <w:rFonts w:hint="eastAsia" w:ascii="仿宋" w:eastAsia="仿宋"/>
          <w:color w:val="auto"/>
        </w:rPr>
      </w:pPr>
    </w:p>
    <w:p>
      <w:pPr>
        <w:pStyle w:val="20"/>
        <w:rPr>
          <w:rFonts w:ascii="仿宋" w:eastAsia="仿宋"/>
          <w:color w:val="auto"/>
        </w:rPr>
      </w:pPr>
      <w:r>
        <w:rPr>
          <w:rFonts w:hint="eastAsia" w:ascii="仿宋" w:eastAsia="仿宋"/>
          <w:color w:val="auto"/>
        </w:rPr>
        <w:t>第五章  采购项目技术服务、采购内容条款及</w:t>
      </w:r>
      <w:r>
        <w:rPr>
          <w:rFonts w:hint="eastAsia" w:ascii="仿宋" w:eastAsia="仿宋"/>
          <w:color w:val="auto"/>
          <w:lang w:val="en-US" w:eastAsia="zh-CN"/>
        </w:rPr>
        <w:t>商务</w:t>
      </w:r>
      <w:r>
        <w:rPr>
          <w:rFonts w:hint="eastAsia" w:ascii="仿宋" w:eastAsia="仿宋"/>
          <w:color w:val="auto"/>
        </w:rPr>
        <w:t>要求</w:t>
      </w:r>
      <w:bookmarkEnd w:id="58"/>
      <w:bookmarkEnd w:id="59"/>
    </w:p>
    <w:p>
      <w:pPr>
        <w:pStyle w:val="4"/>
        <w:keepNext w:val="0"/>
        <w:keepLines w:val="0"/>
        <w:spacing w:before="0" w:after="0" w:line="240" w:lineRule="exact"/>
        <w:jc w:val="left"/>
        <w:rPr>
          <w:rFonts w:ascii="仿宋" w:eastAsia="仿宋"/>
          <w:color w:val="auto"/>
          <w:sz w:val="24"/>
          <w:szCs w:val="24"/>
        </w:rPr>
      </w:pPr>
      <w:r>
        <w:rPr>
          <w:rFonts w:hint="eastAsia" w:ascii="仿宋" w:eastAsia="仿宋"/>
          <w:color w:val="auto"/>
          <w:sz w:val="24"/>
          <w:szCs w:val="24"/>
        </w:rPr>
        <w:t>前提：本章采购需求中标注“*”号的条款为本次磋商采购项目的实质性要求，供应商应全部满足。非“*”号的条款有3项不满足，其响应文件作无效处理。</w:t>
      </w:r>
    </w:p>
    <w:p>
      <w:pPr>
        <w:pStyle w:val="4"/>
        <w:keepNext w:val="0"/>
        <w:keepLines w:val="0"/>
        <w:spacing w:before="0" w:after="0" w:line="560" w:lineRule="exact"/>
        <w:ind w:firstLine="697" w:firstLineChars="249"/>
        <w:jc w:val="left"/>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一、项目概述</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九寨沟风景名胜区管理局位于阿坝州九寨沟县漳扎镇羊峒，本服务项目是拟采购1名供应商对所属辖区内发电机组进行维护保养</w:t>
      </w:r>
      <w:r>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t>。</w:t>
      </w:r>
    </w:p>
    <w:p>
      <w:pPr>
        <w:pStyle w:val="4"/>
        <w:keepNext w:val="0"/>
        <w:keepLines w:val="0"/>
        <w:spacing w:before="0" w:after="0" w:line="560" w:lineRule="exact"/>
        <w:ind w:firstLine="562" w:firstLineChars="200"/>
        <w:jc w:val="left"/>
        <w:rPr>
          <w:rFonts w:hint="eastAsia" w:ascii="方正仿宋_GBK" w:hAnsi="方正仿宋_GBK" w:eastAsia="方正仿宋_GBK" w:cs="方正仿宋_GBK"/>
          <w:color w:val="auto"/>
          <w:sz w:val="28"/>
          <w:szCs w:val="28"/>
        </w:rPr>
      </w:pPr>
      <w:bookmarkStart w:id="60" w:name="_Toc137543714"/>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技术支持服务目标</w:t>
      </w:r>
      <w:bookmarkEnd w:id="60"/>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1、承担巡检维保任务，对柴发系统进行定期试运行、安全性检查、年度假负载分功率段测试、定期检查系统各功能之间的配合性。</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2、建立运维体系，实现人员培养、运行制度、安全监管、系统分析、维护维修、应急处理等全方位管控体系从而保障机房应急保障供电系统长期稳定、安全运行。</w:t>
      </w:r>
    </w:p>
    <w:p>
      <w:pPr>
        <w:pStyle w:val="4"/>
        <w:keepNext w:val="0"/>
        <w:keepLines w:val="0"/>
        <w:spacing w:before="0" w:after="0" w:line="560" w:lineRule="exact"/>
        <w:ind w:firstLine="562" w:firstLineChars="200"/>
        <w:jc w:val="left"/>
        <w:rPr>
          <w:rFonts w:hint="eastAsia" w:ascii="方正仿宋_GBK" w:hAnsi="方正仿宋_GBK" w:eastAsia="方正仿宋_GBK" w:cs="方正仿宋_GBK"/>
          <w:color w:val="auto"/>
          <w:sz w:val="28"/>
          <w:szCs w:val="28"/>
        </w:rPr>
      </w:pPr>
      <w:bookmarkStart w:id="61" w:name="_Toc137543715"/>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运维人员培训目标</w:t>
      </w:r>
      <w:bookmarkEnd w:id="61"/>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t>供应商拟派的维护人员需具备应急处置能力，并对采购人现场操作人员和管理人员进行现场培训，协助采购人现有工作人员熟悉运维规则及流程、熟悉设备、熟悉系统、培训专业知识，建立所有人员对系统关键设备的认识能力。</w:t>
      </w:r>
    </w:p>
    <w:p>
      <w:pPr>
        <w:pStyle w:val="4"/>
        <w:keepNext w:val="0"/>
        <w:keepLines w:val="0"/>
        <w:pageBreakBefore w:val="0"/>
        <w:widowControl/>
        <w:kinsoku/>
        <w:wordWrap/>
        <w:overflowPunct/>
        <w:topLinePunct w:val="0"/>
        <w:autoSpaceDN/>
        <w:bidi w:val="0"/>
        <w:adjustRightInd/>
        <w:snapToGrid/>
        <w:spacing w:before="0" w:after="0" w:line="560" w:lineRule="exact"/>
        <w:ind w:firstLine="700" w:firstLineChars="249"/>
        <w:jc w:val="left"/>
        <w:textAlignment w:val="auto"/>
        <w:rPr>
          <w:rFonts w:hint="eastAsia" w:ascii="方正黑体_GBK" w:hAnsi="方正黑体_GBK" w:eastAsia="方正黑体_GBK" w:cs="方正黑体_GBK"/>
          <w:b w:val="0"/>
          <w:bCs w:val="0"/>
          <w:color w:val="auto"/>
          <w:sz w:val="28"/>
          <w:szCs w:val="28"/>
          <w:lang w:val="en-US" w:eastAsia="zh-CN"/>
        </w:rPr>
      </w:pPr>
      <w:r>
        <w:rPr>
          <w:rFonts w:hint="default" w:ascii="Times New Roman" w:hAnsi="Times New Roman" w:eastAsia="方正仿宋_GBK" w:cs="Times New Roman"/>
          <w:b/>
          <w:bCs/>
          <w:color w:val="auto"/>
          <w:sz w:val="28"/>
          <w:szCs w:val="28"/>
        </w:rPr>
        <w:t>*</w:t>
      </w:r>
      <w:r>
        <w:rPr>
          <w:rFonts w:hint="eastAsia" w:ascii="方正黑体_GBK" w:hAnsi="方正黑体_GBK" w:eastAsia="方正黑体_GBK" w:cs="方正黑体_GBK"/>
          <w:b w:val="0"/>
          <w:bCs w:val="0"/>
          <w:color w:val="auto"/>
          <w:sz w:val="28"/>
          <w:szCs w:val="28"/>
        </w:rPr>
        <w:t>二、</w:t>
      </w:r>
      <w:r>
        <w:rPr>
          <w:rFonts w:hint="eastAsia" w:ascii="方正黑体_GBK" w:hAnsi="方正黑体_GBK" w:eastAsia="方正黑体_GBK" w:cs="方正黑体_GBK"/>
          <w:b w:val="0"/>
          <w:bCs w:val="0"/>
          <w:color w:val="auto"/>
          <w:sz w:val="28"/>
          <w:szCs w:val="28"/>
          <w:lang w:val="en-US" w:eastAsia="zh-CN"/>
        </w:rPr>
        <w:t>项目</w:t>
      </w:r>
      <w:r>
        <w:rPr>
          <w:rFonts w:hint="eastAsia" w:ascii="方正黑体_GBK" w:hAnsi="方正黑体_GBK" w:eastAsia="方正黑体_GBK" w:cs="方正黑体_GBK"/>
          <w:b w:val="0"/>
          <w:bCs w:val="0"/>
          <w:color w:val="auto"/>
          <w:sz w:val="28"/>
          <w:szCs w:val="28"/>
        </w:rPr>
        <w:t>服务内容及服务要求</w:t>
      </w:r>
    </w:p>
    <w:p>
      <w:pPr>
        <w:keepNext w:val="0"/>
        <w:keepLines w:val="0"/>
        <w:pageBreakBefore w:val="0"/>
        <w:widowControl w:val="0"/>
        <w:kinsoku/>
        <w:wordWrap/>
        <w:overflowPunct/>
        <w:topLinePunct w:val="0"/>
        <w:autoSpaceDN/>
        <w:bidi w:val="0"/>
        <w:adjustRightInd/>
        <w:snapToGrid/>
        <w:spacing w:line="560" w:lineRule="exact"/>
        <w:ind w:firstLine="562" w:firstLineChars="200"/>
        <w:textAlignment w:val="auto"/>
        <w:rPr>
          <w:rFonts w:hint="eastAsia" w:ascii="方正仿宋_GBK" w:hAnsi="方正仿宋_GBK" w:eastAsia="方正仿宋_GBK" w:cs="方正仿宋_GBK"/>
          <w:b/>
          <w:bCs/>
          <w:color w:val="000000" w:themeColor="text1"/>
          <w:sz w:val="28"/>
          <w:szCs w:val="28"/>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bidi="ar-SA"/>
          <w14:textFill>
            <w14:solidFill>
              <w14:schemeClr w14:val="tx1"/>
            </w14:solidFill>
          </w14:textFill>
        </w:rPr>
        <w:t>（一）服务内容</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对九寨沟管理局所属辖区内22台柴油发电机组、油罐、PLC供油系统、PLC并联管理系统、进排风消音系统、黑烟处理器进行维护保养，保养周期一年</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w:t>
      </w:r>
    </w:p>
    <w:p>
      <w:pPr>
        <w:pStyle w:val="2"/>
        <w:spacing w:line="440" w:lineRule="exact"/>
        <w:ind w:left="0" w:firstLine="560" w:firstLineChars="200"/>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保养服务期间 ，保养</w:t>
      </w:r>
      <w:r>
        <w:rPr>
          <w:rFonts w:hint="eastAsia"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更换的</w:t>
      </w:r>
      <w:r>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耗材材料均需以维保报告的形式报至采购人。</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firstLineChars="200"/>
        <w:jc w:val="left"/>
        <w:textAlignment w:val="auto"/>
        <w:rPr>
          <w:rFonts w:hint="default" w:ascii="Times New Roman" w:hAnsi="Times New Roman" w:eastAsia="宋体" w:cs="Times New Roman"/>
          <w:b/>
          <w:caps w:val="0"/>
          <w:color w:val="auto"/>
          <w:sz w:val="28"/>
          <w:szCs w:val="28"/>
          <w:vertAlign w:val="baseline"/>
          <w:lang w:val="en-US"/>
        </w:rPr>
      </w:pPr>
      <w:r>
        <w:rPr>
          <w:rFonts w:hint="eastAsia" w:ascii="Times New Roman" w:hAnsi="Times New Roman" w:eastAsia="方正仿宋_GBK" w:cs="Times New Roman"/>
          <w:color w:val="auto"/>
          <w:sz w:val="28"/>
          <w:szCs w:val="28"/>
          <w:lang w:val="en-US" w:eastAsia="zh-CN"/>
        </w:rPr>
        <w:t>保养耗材材料清单如</w:t>
      </w:r>
      <w:r>
        <w:rPr>
          <w:rFonts w:hint="eastAsia" w:ascii="Times New Roman" w:hAnsi="Times New Roman" w:eastAsia="方正仿宋_GBK" w:cs="Times New Roman"/>
          <w:color w:val="auto"/>
          <w:sz w:val="28"/>
          <w:szCs w:val="28"/>
        </w:rPr>
        <w:t>下：</w:t>
      </w:r>
    </w:p>
    <w:tbl>
      <w:tblPr>
        <w:tblStyle w:val="22"/>
        <w:tblW w:w="793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8"/>
        <w:gridCol w:w="2509"/>
        <w:gridCol w:w="2136"/>
        <w:gridCol w:w="1416"/>
        <w:gridCol w:w="11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序号</w:t>
            </w:r>
          </w:p>
        </w:tc>
        <w:tc>
          <w:tcPr>
            <w:tcW w:w="250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default" w:ascii="Times New Roman" w:hAnsi="Times New Roman" w:eastAsia="方正仿宋_GBK" w:cs="Times New Roman"/>
                <w:b/>
                <w:bCs/>
                <w:caps w:val="0"/>
                <w:color w:val="auto"/>
                <w:kern w:val="2"/>
                <w:sz w:val="24"/>
                <w:szCs w:val="24"/>
                <w:vertAlign w:val="baseline"/>
                <w:lang w:val="en-US" w:eastAsia="zh-CN" w:bidi="ar"/>
              </w:rPr>
            </w:pPr>
            <w:r>
              <w:rPr>
                <w:rFonts w:hint="default" w:ascii="Times New Roman" w:hAnsi="Times New Roman" w:eastAsia="方正仿宋_GBK" w:cs="Times New Roman"/>
                <w:b/>
                <w:bCs/>
                <w:caps w:val="0"/>
                <w:color w:val="auto"/>
                <w:kern w:val="2"/>
                <w:sz w:val="24"/>
                <w:szCs w:val="24"/>
                <w:vertAlign w:val="baseline"/>
                <w:lang w:val="en-US" w:eastAsia="zh-CN" w:bidi="ar"/>
              </w:rPr>
              <w:t>设备名称及数量</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rPr>
            </w:pPr>
            <w:r>
              <w:rPr>
                <w:rFonts w:hint="default" w:ascii="Times New Roman" w:hAnsi="Times New Roman" w:eastAsia="方正仿宋_GBK" w:cs="Times New Roman"/>
                <w:b/>
                <w:bCs/>
                <w:caps w:val="0"/>
                <w:color w:val="auto"/>
                <w:kern w:val="2"/>
                <w:sz w:val="24"/>
                <w:szCs w:val="24"/>
                <w:vertAlign w:val="baseline"/>
                <w:lang w:val="en-US" w:eastAsia="zh-CN" w:bidi="ar"/>
              </w:rPr>
              <w:t>配件名称</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lang w:val="en-US"/>
              </w:rPr>
            </w:pPr>
            <w:r>
              <w:rPr>
                <w:rFonts w:hint="default" w:ascii="Times New Roman" w:hAnsi="Times New Roman" w:eastAsia="方正仿宋_GBK" w:cs="Times New Roman"/>
                <w:b/>
                <w:bCs/>
                <w:caps w:val="0"/>
                <w:color w:val="auto"/>
                <w:kern w:val="2"/>
                <w:sz w:val="24"/>
                <w:szCs w:val="24"/>
                <w:vertAlign w:val="baseline"/>
                <w:lang w:val="en-US" w:eastAsia="zh-CN" w:bidi="ar"/>
              </w:rPr>
              <w:t>数量或规格</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rPr>
            </w:pPr>
            <w:r>
              <w:rPr>
                <w:rFonts w:hint="default" w:ascii="Times New Roman" w:hAnsi="Times New Roman" w:eastAsia="方正仿宋_GBK" w:cs="Times New Roman"/>
                <w:b/>
                <w:bCs/>
                <w:caps w:val="0"/>
                <w:color w:val="auto"/>
                <w:kern w:val="2"/>
                <w:sz w:val="24"/>
                <w:szCs w:val="24"/>
                <w:vertAlign w:val="baseline"/>
                <w:lang w:val="en-US" w:eastAsia="zh-CN" w:bidi="ar"/>
              </w:rPr>
              <w:t>备 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w:t>
            </w:r>
          </w:p>
        </w:tc>
        <w:tc>
          <w:tcPr>
            <w:tcW w:w="2509"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威尔信P1100E1：1台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180升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180升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2</w:t>
            </w:r>
          </w:p>
        </w:tc>
        <w:tc>
          <w:tcPr>
            <w:tcW w:w="2509"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威尔信P150E：1台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油水分离器</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28升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3</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1800KW康明斯：1台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378升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420升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4</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400KW玉柴：1台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72升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96升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5</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500KW玉柴：1台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72升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96升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6</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MD300GFS：1台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7</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MD200GFS：4台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8</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MD150GFS：1台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9</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MD100GFS：6台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10</w:t>
            </w:r>
          </w:p>
        </w:tc>
        <w:tc>
          <w:tcPr>
            <w:tcW w:w="2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MD50GFS：5台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15升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leftChars="0" w:right="0" w:rightChars="0" w:firstLine="0" w:firstLineChars="0"/>
              <w:jc w:val="center"/>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11</w:t>
            </w:r>
          </w:p>
        </w:tc>
        <w:tc>
          <w:tcPr>
            <w:tcW w:w="2509"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000000"/>
                <w:kern w:val="0"/>
                <w:sz w:val="24"/>
                <w:szCs w:val="24"/>
                <w:vertAlign w:val="baseline"/>
                <w:lang w:val="en-US" w:eastAsia="zh-CN" w:bidi="ar"/>
              </w:rPr>
            </w:pPr>
            <w:r>
              <w:rPr>
                <w:rFonts w:hint="default" w:ascii="Times New Roman" w:hAnsi="Times New Roman" w:eastAsia="方正仿宋_GBK" w:cs="Times New Roman"/>
                <w:b/>
                <w:bCs/>
                <w:sz w:val="24"/>
                <w:szCs w:val="24"/>
                <w:lang w:val="en-US" w:eastAsia="zh-CN"/>
              </w:rPr>
              <w:t>储油罐：2个</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000000"/>
                <w:kern w:val="0"/>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地埋储油罐</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leftChars="0" w:right="0" w:rightChars="0" w:firstLine="0" w:firstLineChars="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caps w:val="0"/>
                <w:color w:val="auto"/>
                <w:sz w:val="24"/>
                <w:szCs w:val="24"/>
                <w:vertAlign w:val="baseline"/>
                <w:lang w:val="en-US" w:eastAsia="zh-CN"/>
              </w:rPr>
              <w:t>柴油</w:t>
            </w:r>
          </w:p>
        </w:tc>
      </w:tr>
    </w:tbl>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2、每月对柴油发电机组进行例行检查、调整，确保发电机组在最佳状态下运行。</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3、检查添加</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（1）运行机组，检查空载或带载时机组的电压、电流、油压、水温、频率等参数是否正常。</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（2）检查机组水箱防冻液是否缺液。</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（3）检查排气系统</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①检查波纹管连接及工作状况；</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②排气波纹管是否存在裂纹漏烟，如有则进行更换处理。</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（4）检查电气系统：</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①检查电气控制柜工作运行情况，如有异常进行维护处理；</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②检查出线电缆与机组空开的连接情况。</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（5）检查机组机油、柴油的油量。</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（6）检查机组全部皮带有否损坏及松紧度。</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（7）检查空气滤清器指示器是否需要更换。</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（8）排放初级柴油滤清器内水份及沉淀物。</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（9）检查蓄电池、充电机工作过电压是否正常，极柱和电池卡头连接情况是否正常。</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（10）检查机组控制箱内的电源线的连接是否松动。</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（11）检查机组输出开关有无异常。</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（12）填好发电机组巡检运行登记表。</w:t>
      </w:r>
    </w:p>
    <w:p>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lang w:val="en-US" w:eastAsia="zh-CN"/>
        </w:rPr>
      </w:pPr>
      <w:bookmarkStart w:id="62" w:name="_Hlk131584928"/>
      <w:r>
        <w:rPr>
          <w:rFonts w:hint="default" w:ascii="Times New Roman" w:hAnsi="Times New Roman" w:eastAsia="方正仿宋_GBK" w:cs="Times New Roman"/>
          <w:b/>
          <w:bCs/>
          <w:sz w:val="28"/>
          <w:szCs w:val="28"/>
          <w:lang w:val="en-US" w:eastAsia="zh-CN"/>
        </w:rPr>
        <w:t>（二）保养材料要求：</w:t>
      </w:r>
    </w:p>
    <w:p>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1、</w:t>
      </w:r>
      <w:r>
        <w:rPr>
          <w:rFonts w:hint="default" w:ascii="Times New Roman" w:hAnsi="Times New Roman" w:eastAsia="方正仿宋_GBK" w:cs="Times New Roman"/>
          <w:b/>
          <w:bCs/>
          <w:sz w:val="28"/>
          <w:szCs w:val="28"/>
        </w:rPr>
        <w:t>防冻液</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使用防冻液冰点达到-35℃，推荐使用长城、统一、昆仑或同品质防冻液。防冻液对冷却系统的部件起到防腐保护作用，防止水垢，避免降低散热器的散热作用，保证发动机在正常温度内正常运行。具有夏季防沸、冬季防冻、全年防腐蚀、防锈、阻垢、无毒、低温流动性好，适合常年使用的功能。</w:t>
      </w:r>
    </w:p>
    <w:p>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2、</w:t>
      </w:r>
      <w:r>
        <w:rPr>
          <w:rFonts w:hint="default" w:ascii="Times New Roman" w:hAnsi="Times New Roman" w:eastAsia="方正仿宋_GBK" w:cs="Times New Roman"/>
          <w:b/>
          <w:bCs/>
          <w:sz w:val="28"/>
          <w:szCs w:val="28"/>
        </w:rPr>
        <w:t>更换使用防冻液要求：</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更换防冻液尽量使用原来使用过的同一品牌型号规格防冻液，若使用不同品牌防冻液，尽量将原防冻液彻底放干净，并对冷却系统进行一次彻底的清洗。维保服务方将更换过后的防冻液废液进行安全环保处理。</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添加前对冷却系统进行检查，若有渗漏现象，应及时排出后才能使用防冻液。</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未用完的防冻液应装入塑料容器存放，当防冻液缺少时可补加，严禁加水或不同型号防冻液以免冻坏发动机和水箱。</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每次更换防冻液后5日内需向采购人出具维保报告，</w:t>
      </w:r>
      <w:r>
        <w:rPr>
          <w:rFonts w:hint="default" w:ascii="Times New Roman" w:hAnsi="Times New Roman" w:eastAsia="方正仿宋_GBK" w:cs="Times New Roman"/>
          <w:sz w:val="28"/>
          <w:szCs w:val="28"/>
        </w:rPr>
        <w:t>维保报告列出更换防冻液品牌及用量。</w:t>
      </w:r>
    </w:p>
    <w:p>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机油</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机油使用规格型号为15W-40，CF级全合成机油，</w:t>
      </w:r>
      <w:r>
        <w:rPr>
          <w:rFonts w:hint="eastAsia" w:ascii="Times New Roman" w:hAnsi="Times New Roman" w:eastAsia="方正仿宋_GBK" w:cs="Times New Roman"/>
          <w:sz w:val="28"/>
          <w:szCs w:val="28"/>
          <w:lang w:val="en-US" w:eastAsia="zh-CN"/>
        </w:rPr>
        <w:t>供应商</w:t>
      </w:r>
      <w:r>
        <w:rPr>
          <w:rFonts w:hint="eastAsia" w:ascii="Times New Roman" w:hAnsi="Times New Roman" w:eastAsia="方正仿宋_GBK" w:cs="Times New Roman"/>
          <w:sz w:val="28"/>
          <w:szCs w:val="28"/>
          <w:lang w:eastAsia="zh-CN"/>
        </w:rPr>
        <w:t>需</w:t>
      </w:r>
      <w:r>
        <w:rPr>
          <w:rFonts w:hint="eastAsia" w:ascii="Times New Roman" w:hAnsi="Times New Roman" w:eastAsia="方正仿宋_GBK" w:cs="Times New Roman"/>
          <w:sz w:val="28"/>
          <w:szCs w:val="28"/>
          <w:lang w:val="en-US" w:eastAsia="zh-CN"/>
        </w:rPr>
        <w:t>选择</w:t>
      </w:r>
      <w:r>
        <w:rPr>
          <w:rFonts w:hint="default" w:ascii="Times New Roman" w:hAnsi="Times New Roman" w:eastAsia="方正仿宋_GBK" w:cs="Times New Roman"/>
          <w:sz w:val="28"/>
          <w:szCs w:val="28"/>
        </w:rPr>
        <w:t>大多数重负荷发动机制造商推荐品牌</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推荐使用长城、嘉实多、美孚或同品质机油。所使用机油应</w:t>
      </w:r>
      <w:r>
        <w:rPr>
          <w:rFonts w:hint="eastAsia" w:ascii="Times New Roman" w:hAnsi="Times New Roman" w:eastAsia="方正仿宋_GBK" w:cs="Times New Roman"/>
          <w:sz w:val="28"/>
          <w:szCs w:val="28"/>
          <w:lang w:val="en-US" w:eastAsia="zh-CN"/>
        </w:rPr>
        <w:t>满足以下功能</w:t>
      </w:r>
      <w:r>
        <w:rPr>
          <w:rFonts w:hint="default" w:ascii="Times New Roman" w:hAnsi="Times New Roman" w:eastAsia="方正仿宋_GBK" w:cs="Times New Roman"/>
          <w:sz w:val="28"/>
          <w:szCs w:val="28"/>
        </w:rPr>
        <w:t>：全年使用，延长发动机寿命，减少磨损（减少冷启动引起的磨损）；提高燃油经济性；降低润滑油消耗；提供良好低温润滑性；更长的换油期等作用。</w:t>
      </w:r>
    </w:p>
    <w:p>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4、</w:t>
      </w:r>
      <w:r>
        <w:rPr>
          <w:rFonts w:hint="default" w:ascii="Times New Roman" w:hAnsi="Times New Roman" w:eastAsia="方正仿宋_GBK" w:cs="Times New Roman"/>
          <w:b/>
          <w:bCs/>
          <w:sz w:val="28"/>
          <w:szCs w:val="28"/>
        </w:rPr>
        <w:t>更换使用机油要求：</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（1）未用完的机油应装入塑料容器阴凉存放，移交</w:t>
      </w:r>
      <w:r>
        <w:rPr>
          <w:rFonts w:hint="eastAsia" w:ascii="Times New Roman" w:hAnsi="Times New Roman" w:eastAsia="方正仿宋_GBK" w:cs="Times New Roman"/>
          <w:sz w:val="28"/>
          <w:szCs w:val="28"/>
          <w:lang w:val="en-US" w:eastAsia="zh-CN"/>
        </w:rPr>
        <w:t>给</w:t>
      </w:r>
      <w:r>
        <w:rPr>
          <w:rFonts w:hint="default"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供应商</w:t>
      </w:r>
      <w:r>
        <w:rPr>
          <w:rFonts w:hint="default" w:ascii="Times New Roman" w:hAnsi="Times New Roman" w:eastAsia="方正仿宋_GBK" w:cs="Times New Roman"/>
          <w:sz w:val="28"/>
          <w:szCs w:val="28"/>
        </w:rPr>
        <w:t>将更换后的机油废油自行带回进行安全环保处理。</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每次更换完机油后5日需向采购人出具维保报告，</w:t>
      </w:r>
      <w:r>
        <w:rPr>
          <w:rFonts w:hint="default" w:ascii="Times New Roman" w:hAnsi="Times New Roman" w:eastAsia="方正仿宋_GBK" w:cs="Times New Roman"/>
          <w:sz w:val="28"/>
          <w:szCs w:val="28"/>
        </w:rPr>
        <w:t>维保报告列出更换机油品牌及用量。</w:t>
      </w:r>
    </w:p>
    <w:p>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5、</w:t>
      </w:r>
      <w:r>
        <w:rPr>
          <w:rFonts w:hint="default" w:ascii="Times New Roman" w:hAnsi="Times New Roman" w:eastAsia="方正仿宋_GBK" w:cs="Times New Roman"/>
          <w:b/>
          <w:bCs/>
          <w:sz w:val="28"/>
          <w:szCs w:val="28"/>
        </w:rPr>
        <w:t>滤芯</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（1）维保服务方根据每台柴油发电机规格型号参数，选择相匹配适应的滤芯。</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（2）所选滤芯应具有长时间运行不堵塞，耐油耐高温耐氧化等功能。</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每次更换完滤芯后5日需向采购人出具维保报告，</w:t>
      </w:r>
      <w:r>
        <w:rPr>
          <w:rFonts w:hint="default" w:ascii="Times New Roman" w:hAnsi="Times New Roman" w:eastAsia="方正仿宋_GBK" w:cs="Times New Roman"/>
          <w:sz w:val="28"/>
          <w:szCs w:val="28"/>
        </w:rPr>
        <w:t>维保报告详细列出滤芯规格型号和更换数量。</w:t>
      </w:r>
    </w:p>
    <w:p>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6、</w:t>
      </w:r>
      <w:r>
        <w:rPr>
          <w:rFonts w:hint="default" w:ascii="Times New Roman" w:hAnsi="Times New Roman" w:eastAsia="方正仿宋_GBK" w:cs="Times New Roman"/>
          <w:b/>
          <w:bCs/>
          <w:sz w:val="28"/>
          <w:szCs w:val="28"/>
        </w:rPr>
        <w:t>辅助软管</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（1）维保服务方根据现场实际情况，对机组辅助软管进行详细检查，对有漏液及裂损的软管进行更换。</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（2）新更换的软管具有长时间耐油、耐氧化、耐腐蚀、耐高温的特点。</w:t>
      </w:r>
    </w:p>
    <w:p>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供应商需在维保工作完成后</w:t>
      </w:r>
      <w:r>
        <w:rPr>
          <w:rFonts w:hint="default" w:ascii="Times New Roman" w:hAnsi="Times New Roman" w:eastAsia="方正仿宋_GBK" w:cs="Times New Roman"/>
          <w:sz w:val="28"/>
          <w:szCs w:val="28"/>
        </w:rPr>
        <w:t>列出</w:t>
      </w:r>
      <w:r>
        <w:rPr>
          <w:rFonts w:hint="default" w:ascii="Times New Roman" w:hAnsi="Times New Roman" w:eastAsia="方正仿宋_GBK" w:cs="Times New Roman"/>
          <w:sz w:val="28"/>
          <w:szCs w:val="28"/>
          <w:lang w:val="en-US" w:eastAsia="zh-CN"/>
        </w:rPr>
        <w:t>每次</w:t>
      </w:r>
      <w:r>
        <w:rPr>
          <w:rFonts w:hint="default" w:ascii="Times New Roman" w:hAnsi="Times New Roman" w:eastAsia="方正仿宋_GBK" w:cs="Times New Roman"/>
          <w:sz w:val="28"/>
          <w:szCs w:val="28"/>
        </w:rPr>
        <w:t>所更换辅助软管的用途（如回油软管</w:t>
      </w:r>
      <w:r>
        <w:rPr>
          <w:rFonts w:hint="eastAsia" w:ascii="Times New Roman" w:hAnsi="Times New Roman" w:eastAsia="方正仿宋_GBK" w:cs="Times New Roman"/>
          <w:sz w:val="28"/>
          <w:szCs w:val="28"/>
          <w:lang w:val="en-US" w:eastAsia="zh-CN"/>
        </w:rPr>
        <w:t>等</w:t>
      </w:r>
      <w:r>
        <w:rPr>
          <w:rFonts w:hint="default" w:ascii="Times New Roman" w:hAnsi="Times New Roman" w:eastAsia="方正仿宋_GBK" w:cs="Times New Roman"/>
          <w:sz w:val="28"/>
          <w:szCs w:val="28"/>
        </w:rPr>
        <w:t>）及规格型号。</w:t>
      </w:r>
    </w:p>
    <w:p>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7、</w:t>
      </w:r>
      <w:r>
        <w:rPr>
          <w:rFonts w:hint="default" w:ascii="Times New Roman" w:hAnsi="Times New Roman" w:eastAsia="方正仿宋_GBK" w:cs="Times New Roman"/>
          <w:b/>
          <w:bCs/>
          <w:sz w:val="28"/>
          <w:szCs w:val="28"/>
        </w:rPr>
        <w:t>例行巡检</w:t>
      </w:r>
    </w:p>
    <w:p>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每半年进行一次烟尘处理器清洗，确保机组运行安全，提升效率。</w:t>
      </w:r>
    </w:p>
    <w:p>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一</w:t>
      </w:r>
      <w:r>
        <w:rPr>
          <w:rFonts w:hint="default" w:ascii="Times New Roman" w:hAnsi="Times New Roman" w:eastAsia="方正仿宋_GBK" w:cs="Times New Roman"/>
          <w:sz w:val="28"/>
          <w:szCs w:val="28"/>
        </w:rPr>
        <w:t>年进行一次加油系统功能性验证。</w:t>
      </w:r>
    </w:p>
    <w:p>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一</w:t>
      </w:r>
      <w:r>
        <w:rPr>
          <w:rFonts w:hint="default" w:ascii="Times New Roman" w:hAnsi="Times New Roman" w:eastAsia="方正仿宋_GBK" w:cs="Times New Roman"/>
          <w:sz w:val="28"/>
          <w:szCs w:val="28"/>
        </w:rPr>
        <w:t>年进行一次机油和滤清器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机油滤芯、柴油滤芯、空气滤芯等全套</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更换。</w:t>
      </w:r>
    </w:p>
    <w:p>
      <w:pPr>
        <w:numPr>
          <w:ilvl w:val="-1"/>
          <w:numId w:val="0"/>
        </w:numPr>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4）一</w:t>
      </w:r>
      <w:r>
        <w:rPr>
          <w:rFonts w:hint="default" w:ascii="Times New Roman" w:hAnsi="Times New Roman" w:eastAsia="方正仿宋_GBK" w:cs="Times New Roman"/>
          <w:sz w:val="28"/>
          <w:szCs w:val="28"/>
        </w:rPr>
        <w:t>年进行一次假负载测试，</w:t>
      </w:r>
      <w:r>
        <w:rPr>
          <w:rFonts w:hint="eastAsia" w:ascii="Times New Roman" w:hAnsi="Times New Roman" w:eastAsia="方正仿宋_GBK" w:cs="Times New Roman"/>
          <w:sz w:val="28"/>
          <w:szCs w:val="28"/>
          <w:lang w:eastAsia="zh-CN"/>
        </w:rPr>
        <w:t>以</w:t>
      </w:r>
      <w:r>
        <w:rPr>
          <w:rFonts w:hint="default" w:ascii="Times New Roman" w:hAnsi="Times New Roman" w:eastAsia="方正仿宋_GBK" w:cs="Times New Roman"/>
          <w:sz w:val="28"/>
          <w:szCs w:val="28"/>
        </w:rPr>
        <w:t>确保机组输出电压能达到效率，并出具相关测试报告单详见附件三。</w:t>
      </w:r>
    </w:p>
    <w:p>
      <w:pPr>
        <w:numPr>
          <w:ilvl w:val="-1"/>
          <w:numId w:val="0"/>
        </w:numPr>
        <w:tabs>
          <w:tab w:val="left" w:pos="0"/>
        </w:tabs>
        <w:spacing w:line="560" w:lineRule="exact"/>
        <w:ind w:leftChars="20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紧急故障处理</w:t>
      </w:r>
    </w:p>
    <w:p>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除了做好例行保养外，还必须做到全天24小时对机组出现的任何突发故障进行抢修，并排除故障。</w:t>
      </w:r>
    </w:p>
    <w:p>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柴油的油品的检查，储油罐安全性检查。根据数据中心机组技术行业规范，增加储油罐运维管理：</w:t>
      </w:r>
    </w:p>
    <w:p>
      <w:pPr>
        <w:pStyle w:val="21"/>
        <w:numPr>
          <w:ilvl w:val="0"/>
          <w:numId w:val="0"/>
        </w:numPr>
        <w:adjustRightInd/>
        <w:spacing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①储油罐中储存的柴油，每年定期找第三方检测机构检测一次，如检测不达标，需要过滤处理或更换新油。检测标准可参照《车用柴油》GB-19147。</w:t>
      </w:r>
    </w:p>
    <w:p>
      <w:pPr>
        <w:pStyle w:val="21"/>
        <w:numPr>
          <w:ilvl w:val="0"/>
          <w:numId w:val="0"/>
        </w:numPr>
        <w:adjustRightInd/>
        <w:spacing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②对油罐中的柴油定期检查发现柴油中的含有水分、机械等杂质，可进行物理过滤，同时要对地埋油罐进行清洗。</w:t>
      </w:r>
    </w:p>
    <w:p>
      <w:pPr>
        <w:pStyle w:val="21"/>
        <w:spacing w:line="520" w:lineRule="exact"/>
        <w:ind w:firstLine="560" w:firstLineChars="200"/>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sz w:val="28"/>
          <w:szCs w:val="28"/>
        </w:rPr>
        <w:t>③对储油罐进行每月一次安全性检查，对油罐注油口、检修口及管道密封性、避雷器接地等，做例行巡检，可及时做出风险识别，并处理隐患。</w:t>
      </w:r>
      <w:bookmarkStart w:id="63" w:name="_Hlk54290327"/>
    </w:p>
    <w:p>
      <w:pPr>
        <w:numPr>
          <w:ilvl w:val="0"/>
          <w:numId w:val="0"/>
        </w:numPr>
        <w:tabs>
          <w:tab w:val="left" w:pos="0"/>
        </w:tabs>
        <w:spacing w:line="560" w:lineRule="exact"/>
        <w:ind w:firstLine="562" w:firstLineChars="200"/>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8、</w:t>
      </w:r>
      <w:r>
        <w:rPr>
          <w:rFonts w:hint="default" w:ascii="Times New Roman" w:hAnsi="Times New Roman" w:eastAsia="方正仿宋_GBK" w:cs="Times New Roman"/>
          <w:b/>
          <w:bCs/>
          <w:color w:val="000000"/>
          <w:sz w:val="28"/>
          <w:szCs w:val="28"/>
        </w:rPr>
        <w:t>管理体系文件建设目录要求</w:t>
      </w:r>
    </w:p>
    <w:tbl>
      <w:tblPr>
        <w:tblStyle w:val="22"/>
        <w:tblW w:w="8926" w:type="dxa"/>
        <w:tblInd w:w="0" w:type="dxa"/>
        <w:tblLayout w:type="fixed"/>
        <w:tblCellMar>
          <w:top w:w="0" w:type="dxa"/>
          <w:left w:w="108" w:type="dxa"/>
          <w:bottom w:w="0" w:type="dxa"/>
          <w:right w:w="108" w:type="dxa"/>
        </w:tblCellMar>
      </w:tblPr>
      <w:tblGrid>
        <w:gridCol w:w="2899"/>
        <w:gridCol w:w="6027"/>
      </w:tblGrid>
      <w:tr>
        <w:tblPrEx>
          <w:tblCellMar>
            <w:top w:w="0" w:type="dxa"/>
            <w:left w:w="108" w:type="dxa"/>
            <w:bottom w:w="0" w:type="dxa"/>
            <w:right w:w="108" w:type="dxa"/>
          </w:tblCellMar>
        </w:tblPrEx>
        <w:trPr>
          <w:trHeight w:val="285" w:hRule="atLeast"/>
        </w:trPr>
        <w:tc>
          <w:tcPr>
            <w:tcW w:w="8926" w:type="dxa"/>
            <w:gridSpan w:val="2"/>
            <w:tcBorders>
              <w:top w:val="single" w:color="auto" w:sz="4" w:space="0"/>
              <w:left w:val="single" w:color="auto" w:sz="4" w:space="0"/>
              <w:bottom w:val="single" w:color="auto" w:sz="4" w:space="0"/>
              <w:right w:val="single" w:color="auto" w:sz="4" w:space="0"/>
            </w:tcBorders>
            <w:shd w:val="clear" w:color="000000" w:fill="E7E6E6"/>
            <w:vAlign w:val="center"/>
          </w:tcPr>
          <w:p>
            <w:pPr>
              <w:spacing w:line="480" w:lineRule="exact"/>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管理领域</w:t>
            </w:r>
          </w:p>
        </w:tc>
      </w:tr>
      <w:tr>
        <w:tblPrEx>
          <w:tblCellMar>
            <w:top w:w="0" w:type="dxa"/>
            <w:left w:w="108" w:type="dxa"/>
            <w:bottom w:w="0" w:type="dxa"/>
            <w:right w:w="108" w:type="dxa"/>
          </w:tblCellMar>
        </w:tblPrEx>
        <w:trPr>
          <w:trHeight w:val="285" w:hRule="atLeast"/>
        </w:trPr>
        <w:tc>
          <w:tcPr>
            <w:tcW w:w="2899"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安全管理</w:t>
            </w: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人员安全</w:t>
            </w:r>
          </w:p>
        </w:tc>
      </w:tr>
      <w:tr>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single" w:color="000000" w:sz="4" w:space="0"/>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职业健康</w:t>
            </w:r>
          </w:p>
        </w:tc>
      </w:tr>
      <w:tr>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single" w:color="000000" w:sz="4" w:space="0"/>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环境安全</w:t>
            </w:r>
          </w:p>
        </w:tc>
      </w:tr>
      <w:tr>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作业管理（SOP\MOP）</w:t>
            </w:r>
          </w:p>
        </w:tc>
      </w:tr>
      <w:tr>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事件管理</w:t>
            </w:r>
          </w:p>
        </w:tc>
      </w:tr>
      <w:tr>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问题管理</w:t>
            </w:r>
          </w:p>
        </w:tc>
      </w:tr>
      <w:tr>
        <w:tblPrEx>
          <w:tblCellMar>
            <w:top w:w="0" w:type="dxa"/>
            <w:left w:w="108" w:type="dxa"/>
            <w:bottom w:w="0" w:type="dxa"/>
            <w:right w:w="108" w:type="dxa"/>
          </w:tblCellMar>
        </w:tblPrEx>
        <w:trPr>
          <w:trHeight w:val="285" w:hRule="atLeast"/>
        </w:trPr>
        <w:tc>
          <w:tcPr>
            <w:tcW w:w="2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应急管理</w:t>
            </w:r>
          </w:p>
        </w:tc>
        <w:tc>
          <w:tcPr>
            <w:tcW w:w="6027" w:type="dxa"/>
            <w:tcBorders>
              <w:top w:val="single" w:color="auto" w:sz="4" w:space="0"/>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风险识别</w:t>
            </w:r>
          </w:p>
        </w:tc>
      </w:tr>
      <w:tr>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风险评估</w:t>
            </w:r>
          </w:p>
        </w:tc>
      </w:tr>
      <w:tr>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预案制定</w:t>
            </w:r>
          </w:p>
        </w:tc>
      </w:tr>
      <w:tr>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应急演练（EOP）</w:t>
            </w:r>
          </w:p>
        </w:tc>
      </w:tr>
      <w:bookmarkEnd w:id="62"/>
      <w:bookmarkEnd w:id="63"/>
    </w:tbl>
    <w:p>
      <w:pPr>
        <w:pStyle w:val="6"/>
        <w:numPr>
          <w:ilvl w:val="-1"/>
          <w:numId w:val="0"/>
        </w:numPr>
        <w:adjustRightInd/>
        <w:spacing w:after="0" w:line="560" w:lineRule="exact"/>
        <w:ind w:leftChars="0" w:firstLine="562"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三）</w:t>
      </w:r>
      <w:bookmarkStart w:id="64" w:name="_Toc137543719"/>
      <w:r>
        <w:rPr>
          <w:rFonts w:hint="default" w:ascii="Times New Roman" w:hAnsi="Times New Roman" w:eastAsia="方正仿宋_GBK" w:cs="Times New Roman"/>
          <w:sz w:val="28"/>
          <w:szCs w:val="28"/>
        </w:rPr>
        <w:t>培训内容</w:t>
      </w:r>
      <w:bookmarkEnd w:id="64"/>
    </w:p>
    <w:p>
      <w:pPr>
        <w:pStyle w:val="6"/>
        <w:numPr>
          <w:ilvl w:val="0"/>
          <w:numId w:val="0"/>
        </w:numPr>
        <w:adjustRightInd/>
        <w:spacing w:before="0" w:after="0" w:line="56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val="0"/>
          <w:bCs w:val="0"/>
          <w:color w:val="auto"/>
          <w:sz w:val="28"/>
          <w:szCs w:val="28"/>
          <w:u w:val="none"/>
          <w:lang w:val="en-US" w:eastAsia="zh-CN"/>
        </w:rPr>
        <w:t>1、</w:t>
      </w:r>
      <w:r>
        <w:rPr>
          <w:rFonts w:hint="default" w:ascii="Times New Roman" w:hAnsi="Times New Roman" w:eastAsia="方正仿宋_GBK" w:cs="Times New Roman"/>
          <w:b w:val="0"/>
          <w:bCs w:val="0"/>
          <w:color w:val="auto"/>
          <w:sz w:val="28"/>
          <w:szCs w:val="28"/>
          <w:u w:val="none"/>
        </w:rPr>
        <w:t>运维管理体系文件学习及应用，包括安全理念、安全法规、安全技术培训。安全课件包括危险源识别、防护、机房消防、电气、燃油等。</w:t>
      </w:r>
    </w:p>
    <w:p>
      <w:pPr>
        <w:pStyle w:val="40"/>
        <w:numPr>
          <w:ilvl w:val="0"/>
          <w:numId w:val="0"/>
        </w:numPr>
        <w:spacing w:line="560" w:lineRule="exact"/>
        <w:ind w:leftChars="0"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了解设备基础理论，系统组成介绍，包括不限于</w:t>
      </w:r>
      <w:r>
        <w:rPr>
          <w:rFonts w:hint="default" w:ascii="Times New Roman" w:hAnsi="Times New Roman" w:eastAsia="方正仿宋_GBK" w:cs="Times New Roman"/>
          <w:sz w:val="28"/>
          <w:szCs w:val="28"/>
        </w:rPr>
        <w:t>柴油发电机并联系统，自动加油系统等</w:t>
      </w:r>
      <w:r>
        <w:rPr>
          <w:rFonts w:hint="default" w:ascii="Times New Roman" w:hAnsi="Times New Roman" w:eastAsia="方正仿宋_GBK" w:cs="Times New Roman"/>
          <w:color w:val="000000"/>
          <w:sz w:val="28"/>
          <w:szCs w:val="28"/>
        </w:rPr>
        <w:t>。</w:t>
      </w:r>
    </w:p>
    <w:p>
      <w:pPr>
        <w:pStyle w:val="40"/>
        <w:numPr>
          <w:ilvl w:val="0"/>
          <w:numId w:val="0"/>
        </w:numPr>
        <w:spacing w:line="560" w:lineRule="exact"/>
        <w:ind w:leftChars="0"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熟悉系统安全维护流程、基础设施运维管理与风险识别控制。包括故障现场拍照留底报修、运行数据分析，日常维护关注重点，日常维护注意事项，应急处理措施等。以及现场实际操作和应急维护维修方案制定方法。</w:t>
      </w:r>
    </w:p>
    <w:p>
      <w:pPr>
        <w:pStyle w:val="6"/>
        <w:numPr>
          <w:ilvl w:val="0"/>
          <w:numId w:val="0"/>
        </w:numPr>
        <w:spacing w:before="0" w:after="0" w:line="560" w:lineRule="exact"/>
        <w:ind w:firstLine="562" w:firstLineChars="200"/>
        <w:jc w:val="left"/>
        <w:rPr>
          <w:rFonts w:hint="default" w:ascii="Times New Roman" w:hAnsi="Times New Roman" w:eastAsia="方正仿宋_GBK" w:cs="Times New Roman"/>
          <w:sz w:val="28"/>
          <w:szCs w:val="28"/>
          <w:lang w:eastAsia="zh-CN"/>
        </w:rPr>
      </w:pPr>
      <w:bookmarkStart w:id="65" w:name="_Toc139025146"/>
      <w:bookmarkStart w:id="66" w:name="_Toc137543720"/>
      <w:bookmarkStart w:id="67" w:name="_Toc139025202"/>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四</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技术支持服务的工作</w:t>
      </w:r>
      <w:bookmarkEnd w:id="65"/>
      <w:bookmarkEnd w:id="66"/>
      <w:bookmarkEnd w:id="67"/>
      <w:r>
        <w:rPr>
          <w:rFonts w:hint="default" w:ascii="Times New Roman" w:hAnsi="Times New Roman" w:eastAsia="方正仿宋_GBK" w:cs="Times New Roman"/>
          <w:sz w:val="28"/>
          <w:szCs w:val="28"/>
          <w:lang w:val="en-US" w:eastAsia="zh-CN"/>
        </w:rPr>
        <w:t>要求</w:t>
      </w:r>
    </w:p>
    <w:p>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运维体系建设及培训总体工作60天内完成。</w:t>
      </w:r>
    </w:p>
    <w:p>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根据要求完成月、季度、年度巡检维保内容并做好记录。</w:t>
      </w:r>
    </w:p>
    <w:p>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首保内容（包括不限于：机油、机滤、空滤、柴滤更换；防冻液补加；烟尘处理器滤芯清洗）总体更换，30天内完成。</w:t>
      </w:r>
    </w:p>
    <w:p>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现场人员培训时间为2天。</w:t>
      </w:r>
    </w:p>
    <w:p>
      <w:pPr>
        <w:pStyle w:val="4"/>
        <w:spacing w:before="0" w:after="0" w:line="560" w:lineRule="exact"/>
        <w:ind w:firstLine="562" w:firstLineChars="200"/>
        <w:jc w:val="left"/>
        <w:rPr>
          <w:rFonts w:hint="default" w:ascii="Times New Roman" w:hAnsi="Times New Roman" w:eastAsia="方正仿宋_GBK" w:cs="Times New Roman"/>
          <w:sz w:val="28"/>
          <w:szCs w:val="28"/>
        </w:rPr>
      </w:pPr>
      <w:bookmarkStart w:id="68" w:name="_Toc139025147"/>
      <w:bookmarkStart w:id="69" w:name="_Toc137543721"/>
      <w:bookmarkStart w:id="70" w:name="_Toc139025203"/>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五</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技术要求</w:t>
      </w:r>
      <w:bookmarkEnd w:id="68"/>
      <w:bookmarkEnd w:id="69"/>
      <w:bookmarkEnd w:id="70"/>
    </w:p>
    <w:p>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1" w:name="_Toc137543722"/>
      <w:r>
        <w:rPr>
          <w:rFonts w:hint="default" w:ascii="Times New Roman" w:hAnsi="Times New Roman" w:eastAsia="方正仿宋_GBK" w:cs="Times New Roman"/>
          <w:sz w:val="28"/>
          <w:szCs w:val="28"/>
        </w:rPr>
        <w:t>1、技术支持服务日常维护方案的依据和总体技术要求</w:t>
      </w:r>
      <w:bookmarkEnd w:id="71"/>
    </w:p>
    <w:p>
      <w:pPr>
        <w:numPr>
          <w:ilvl w:val="0"/>
          <w:numId w:val="0"/>
        </w:numPr>
        <w:spacing w:line="560" w:lineRule="exact"/>
        <w:ind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维护体系参考标准：</w:t>
      </w:r>
    </w:p>
    <w:tbl>
      <w:tblPr>
        <w:tblStyle w:val="22"/>
        <w:tblW w:w="8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6"/>
        <w:gridCol w:w="5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GB755-2008</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《旋转电机定额和性能》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GB/T 2820-2009</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《往复式内燃机驱动的交流发电机组》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GB50174-2017</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《数据中心设计规范》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GB50462-2008</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《电子信息系统机房施工及验收规范》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GB50054-2011</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《低压配电设计规范》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YD5059-2005</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《通信电源设备安装设计规范》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GB50052-2009</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《供配电系统设计规范》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GB50217-2007</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《电力工程电缆设计规范》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GB50060-2007</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《3-110kV高压配电装置设计规范》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GB3096-2008</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《声环境质量标准》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GB12348-2008</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《工业企业厂界环境噪声排放标准》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GB16297-1996</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《大气污染物综合排放标准》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15D202-2</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《柴油发电机组设计与安装》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GB50736-2012</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《民用建筑供暖通风与空气调节设计规范》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GB50016-2014</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《建筑设计防火规范》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GB50264-2013</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《工业设备及管道绝热工程设计规范》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GB/T51314-2018</w:t>
            </w:r>
          </w:p>
        </w:tc>
        <w:tc>
          <w:tcPr>
            <w:tcW w:w="5654" w:type="dxa"/>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《数据中心基础设施运行维护标准》</w:t>
            </w:r>
          </w:p>
        </w:tc>
      </w:tr>
    </w:tbl>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根据住房城乡建设部发布</w:t>
      </w:r>
      <w:bookmarkStart w:id="72" w:name="_Hlk131604521"/>
      <w:r>
        <w:rPr>
          <w:rFonts w:hint="default" w:ascii="Times New Roman" w:hAnsi="Times New Roman" w:eastAsia="方正仿宋_GBK" w:cs="Times New Roman"/>
          <w:color w:val="auto"/>
          <w:sz w:val="28"/>
          <w:szCs w:val="28"/>
        </w:rPr>
        <w:t>《数据中心基础设施运行维护标准》 GB/T51314-2018</w:t>
      </w:r>
      <w:bookmarkEnd w:id="72"/>
      <w:r>
        <w:rPr>
          <w:rFonts w:hint="default" w:ascii="Times New Roman" w:hAnsi="Times New Roman" w:eastAsia="方正仿宋_GBK" w:cs="Times New Roman"/>
          <w:color w:val="auto"/>
          <w:sz w:val="28"/>
          <w:szCs w:val="28"/>
        </w:rPr>
        <w:t>的基本要求：对机房应急保障供电系统产品的运行、维护、制度、管理四方面全面落实有关体系文件。</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协助</w:t>
      </w:r>
      <w:r>
        <w:rPr>
          <w:rFonts w:hint="default"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编制体系文件工作，使</w:t>
      </w:r>
      <w:r>
        <w:rPr>
          <w:rFonts w:hint="default"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具备优化和修订体系文件的能力。服务期内，培养</w:t>
      </w:r>
      <w:r>
        <w:rPr>
          <w:rFonts w:hint="default" w:ascii="Times New Roman" w:hAnsi="Times New Roman" w:eastAsia="方正仿宋_GBK" w:cs="Times New Roman"/>
          <w:color w:val="auto"/>
          <w:sz w:val="28"/>
          <w:szCs w:val="28"/>
          <w:lang w:val="en-US" w:eastAsia="zh-CN"/>
        </w:rPr>
        <w:t>采购</w:t>
      </w:r>
      <w:r>
        <w:rPr>
          <w:rFonts w:hint="eastAsia" w:ascii="Times New Roman" w:hAnsi="Times New Roman" w:eastAsia="方正仿宋_GBK" w:cs="Times New Roman"/>
          <w:color w:val="auto"/>
          <w:sz w:val="28"/>
          <w:szCs w:val="28"/>
          <w:lang w:val="en-US" w:eastAsia="zh-CN"/>
        </w:rPr>
        <w:t>人</w:t>
      </w:r>
      <w:r>
        <w:rPr>
          <w:rFonts w:hint="default" w:ascii="Times New Roman" w:hAnsi="Times New Roman" w:eastAsia="方正仿宋_GBK" w:cs="Times New Roman"/>
          <w:color w:val="auto"/>
          <w:sz w:val="28"/>
          <w:szCs w:val="28"/>
        </w:rPr>
        <w:t>运维人员具备独立维护、应急处置能力。</w:t>
      </w:r>
    </w:p>
    <w:p>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3" w:name="_Toc137543723"/>
      <w:bookmarkStart w:id="74" w:name="_Hlk131585124"/>
      <w:r>
        <w:rPr>
          <w:rFonts w:hint="default" w:ascii="Times New Roman" w:hAnsi="Times New Roman" w:eastAsia="方正仿宋_GBK" w:cs="Times New Roman"/>
          <w:sz w:val="28"/>
          <w:szCs w:val="28"/>
        </w:rPr>
        <w:t>2、体系文件建设的技术要求</w:t>
      </w:r>
      <w:bookmarkEnd w:id="73"/>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1）协助</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运维体系文件编制、修改，满足GB/T51314-2018规范要求；</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2）重点要求提供机房应急保障供电技术支持服务年度维护计划总表；</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3）提供机房应急保障供电技术支持服务各个专业产品和系统技术文档。从产品、系统的运行、巡检、故障记录、例行维护、保养维护、预测维护、故障处理来落实文件的编制。</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①</w:t>
      </w:r>
      <w:r>
        <w:rPr>
          <w:rFonts w:hint="default" w:ascii="Times New Roman" w:hAnsi="Times New Roman" w:eastAsia="方正仿宋_GBK" w:cs="Times New Roman"/>
          <w:color w:val="auto"/>
          <w:sz w:val="28"/>
          <w:szCs w:val="28"/>
        </w:rPr>
        <w:t>编制的执行标准：先设备后系统，每个系统对应多样产品。</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②</w:t>
      </w:r>
      <w:r>
        <w:rPr>
          <w:rFonts w:hint="default" w:ascii="Times New Roman" w:hAnsi="Times New Roman" w:eastAsia="方正仿宋_GBK" w:cs="Times New Roman"/>
          <w:color w:val="auto"/>
          <w:sz w:val="28"/>
          <w:szCs w:val="28"/>
        </w:rPr>
        <w:t>编制具体内容要求：设备系统组成、设备工作原理、关键器件、设备系统运行、巡检、</w:t>
      </w:r>
      <w:r>
        <w:rPr>
          <w:rFonts w:hint="eastAsia" w:ascii="Times New Roman" w:hAnsi="Times New Roman" w:eastAsia="方正仿宋_GBK" w:cs="Times New Roman"/>
          <w:color w:val="auto"/>
          <w:sz w:val="28"/>
          <w:szCs w:val="28"/>
          <w:lang w:eastAsia="zh-CN"/>
        </w:rPr>
        <w:t>故障查阅</w:t>
      </w:r>
      <w:r>
        <w:rPr>
          <w:rFonts w:hint="default" w:ascii="Times New Roman" w:hAnsi="Times New Roman" w:eastAsia="方正仿宋_GBK" w:cs="Times New Roman"/>
          <w:color w:val="auto"/>
          <w:sz w:val="28"/>
          <w:szCs w:val="28"/>
        </w:rPr>
        <w:t>、例行维护、保养维护、预防维护、预测维护、故障处理。</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③</w:t>
      </w:r>
      <w:r>
        <w:rPr>
          <w:rFonts w:hint="default" w:ascii="Times New Roman" w:hAnsi="Times New Roman" w:eastAsia="方正仿宋_GBK" w:cs="Times New Roman"/>
          <w:color w:val="auto"/>
          <w:sz w:val="28"/>
          <w:szCs w:val="28"/>
        </w:rPr>
        <w:t>协助文件编制、修改、管理人员审阅、会审、批准和存档</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产</w:t>
      </w:r>
      <w:r>
        <w:rPr>
          <w:rFonts w:hint="default" w:ascii="Times New Roman" w:hAnsi="Times New Roman" w:eastAsia="方正仿宋_GBK" w:cs="Times New Roman"/>
          <w:color w:val="auto"/>
          <w:sz w:val="28"/>
          <w:szCs w:val="28"/>
        </w:rPr>
        <w:t>品和系统的运行方案和维护方案服务详细项目要求</w:t>
      </w:r>
    </w:p>
    <w:p>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5" w:name="_Toc137543724"/>
      <w:r>
        <w:rPr>
          <w:rFonts w:hint="default" w:ascii="Times New Roman" w:hAnsi="Times New Roman" w:eastAsia="方正仿宋_GBK" w:cs="Times New Roman"/>
          <w:sz w:val="28"/>
          <w:szCs w:val="28"/>
        </w:rPr>
        <w:t>3、人员培训培养的技术要求</w:t>
      </w:r>
      <w:bookmarkEnd w:id="75"/>
    </w:p>
    <w:bookmarkEnd w:id="74"/>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1）掌握机房柴油发电机工程系统容量、送电、配电、中压柜配置；</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2）熟悉机房柴油发电机组工程高压供配电结构、特征及具体应用；</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3）掌握低压配电系统的组成和配置，熟悉开关的特性和用途；</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4）深入掌握柴油发电机工程系统特性，并逐步优化维护方法；</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5）了解柴油发电机组并联运行及自动供油系统结构和作用；</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6）通过研讨辩论方式、机房现场讲解方式，深度分析机房柴油发电机工程系统维护和管理中遇到的疑难问题；</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提供服务方案时需提供技术培训课程表</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7"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7342"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7342"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启停操作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7342"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普通故障排除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3</w:t>
            </w:r>
          </w:p>
        </w:tc>
        <w:tc>
          <w:tcPr>
            <w:tcW w:w="7342"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问题讨论/结业考试</w:t>
            </w:r>
          </w:p>
        </w:tc>
      </w:tr>
    </w:tbl>
    <w:p>
      <w:pPr>
        <w:autoSpaceDE w:val="0"/>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color w:val="auto"/>
          <w:sz w:val="28"/>
          <w:szCs w:val="28"/>
        </w:rPr>
        <w:t>根据机房应急保障供电-柴油发电机工程系统特点，提供安全培训，包括但不限于如下内容：</w:t>
      </w:r>
    </w:p>
    <w:tbl>
      <w:tblPr>
        <w:tblStyle w:val="22"/>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机房安全培训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燃油储存的危险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电气安全培训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电弧安全与防护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w:t>
            </w:r>
          </w:p>
        </w:tc>
        <w:tc>
          <w:tcPr>
            <w:tcW w:w="779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事故案例安全培训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tc>
        <w:tc>
          <w:tcPr>
            <w:tcW w:w="779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火灾与日常消防管理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779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危险源识别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779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运维机房安全管理制度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p>
        </w:tc>
        <w:tc>
          <w:tcPr>
            <w:tcW w:w="7796" w:type="dxa"/>
            <w:vAlign w:val="center"/>
          </w:tcPr>
          <w:p>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*三、提交成果</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1、建立详尽运维系统文件，所有的运维体系文件与</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lang w:val="en-US" w:eastAsia="zh-CN"/>
        </w:rPr>
        <w:t>充分讨论修订后打印装订成册存档，作为运维制度和运维执行标准文件；</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2、培训资料建立培训手册和电子档存档，便于运维人员长期学习；</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3、运维体系建设及人员培养工作总结报告</w:t>
      </w:r>
      <w:r>
        <w:rPr>
          <w:rFonts w:hint="eastAsia" w:ascii="Times New Roman" w:hAnsi="Times New Roman" w:eastAsia="方正仿宋_GBK" w:cs="Times New Roman"/>
          <w:color w:val="auto"/>
          <w:sz w:val="28"/>
          <w:szCs w:val="28"/>
          <w:lang w:val="en-US" w:eastAsia="zh-CN"/>
        </w:rPr>
        <w:t>各一（纸质版需装订、电子版）</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4、《柴油发电机组保养日程表》</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5、《柴油发电机组巡检保养维修报告单》</w:t>
      </w:r>
    </w:p>
    <w:p>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caps w:val="0"/>
          <w:color w:val="auto"/>
          <w:sz w:val="28"/>
          <w:szCs w:val="28"/>
          <w:vertAlign w:val="baseline"/>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bidi="ar-SA"/>
        </w:rPr>
        <w:t>四、</w:t>
      </w:r>
      <w:r>
        <w:rPr>
          <w:rFonts w:hint="default" w:ascii="Times New Roman" w:hAnsi="Times New Roman" w:eastAsia="方正仿宋_GBK" w:cs="Times New Roman"/>
          <w:b/>
          <w:bCs w:val="0"/>
          <w:caps w:val="0"/>
          <w:color w:val="auto"/>
          <w:kern w:val="2"/>
          <w:sz w:val="28"/>
          <w:szCs w:val="28"/>
          <w:vertAlign w:val="baseline"/>
          <w:lang w:val="en-US" w:eastAsia="zh-CN" w:bidi="ar"/>
        </w:rPr>
        <w:t>售后及质保：</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1、所更换和调校的配件质保期为12个月。（从维保全部结束日开始计算）</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2、在质保周期内，维保方为发电设备维保所更换和调校的配件若出现故障，维保方在得到通知后免费上门针对出现的故障配件进行更换或维修，保障发电设备的正常运行。</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3、在质保周期内，发电设备出现维保方维保所更换和调校的配件以外的故障现象，维保方将根据故障现象收取相应的配件费，工时费。</w:t>
      </w:r>
    </w:p>
    <w:p>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五</w:t>
      </w:r>
      <w:r>
        <w:rPr>
          <w:rFonts w:hint="default" w:ascii="Times New Roman" w:hAnsi="Times New Roman" w:eastAsia="方正仿宋_GBK" w:cs="Times New Roman"/>
          <w:b/>
          <w:bCs/>
          <w:color w:val="auto"/>
          <w:sz w:val="28"/>
          <w:szCs w:val="28"/>
        </w:rPr>
        <w:t>、商务要求</w:t>
      </w:r>
    </w:p>
    <w:p>
      <w:pPr>
        <w:keepNext w:val="0"/>
        <w:keepLines w:val="0"/>
        <w:pageBreakBefore w:val="0"/>
        <w:widowControl w:val="0"/>
        <w:kinsoku/>
        <w:wordWrap/>
        <w:overflowPunct/>
        <w:topLinePunct w:val="0"/>
        <w:autoSpaceDE w:val="0"/>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（一）服务期限</w:t>
      </w:r>
      <w:r>
        <w:rPr>
          <w:rFonts w:hint="default" w:ascii="Times New Roman" w:hAnsi="Times New Roman" w:eastAsia="方正仿宋_GBK" w:cs="Times New Roman"/>
          <w:color w:val="auto"/>
          <w:sz w:val="28"/>
          <w:szCs w:val="28"/>
        </w:rPr>
        <w:t>：合同签订后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365</w:t>
      </w:r>
      <w:r>
        <w:rPr>
          <w:rFonts w:hint="default" w:ascii="Times New Roman" w:hAnsi="Times New Roman" w:eastAsia="方正仿宋_GBK" w:cs="Times New Roman"/>
          <w:color w:val="auto"/>
          <w:sz w:val="28"/>
          <w:szCs w:val="28"/>
        </w:rPr>
        <w:t>日内完成。</w:t>
      </w:r>
    </w:p>
    <w:p>
      <w:pPr>
        <w:keepNext w:val="0"/>
        <w:keepLines w:val="0"/>
        <w:pageBreakBefore w:val="0"/>
        <w:widowControl w:val="0"/>
        <w:kinsoku/>
        <w:wordWrap/>
        <w:overflowPunct/>
        <w:topLinePunct w:val="0"/>
        <w:autoSpaceDE w:val="0"/>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rPr>
        <w:t>（二）服务地点：</w:t>
      </w:r>
      <w:r>
        <w:rPr>
          <w:rFonts w:hint="default" w:ascii="Times New Roman" w:hAnsi="Times New Roman" w:eastAsia="方正仿宋_GBK" w:cs="Times New Roman"/>
          <w:color w:val="auto"/>
          <w:sz w:val="28"/>
          <w:szCs w:val="28"/>
          <w:lang w:val="en-US" w:eastAsia="zh-CN"/>
        </w:rPr>
        <w:t>九寨沟管理局所属辖区内。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三</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付款方式</w:t>
      </w:r>
      <w:r>
        <w:rPr>
          <w:rFonts w:hint="default" w:ascii="Times New Roman" w:hAnsi="Times New Roman" w:eastAsia="方正仿宋_GBK" w:cs="Times New Roman"/>
          <w:b/>
          <w:bCs/>
          <w:color w:val="auto"/>
          <w:sz w:val="28"/>
          <w:szCs w:val="28"/>
        </w:rPr>
        <w:t>：</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（1）合同签订之日起15个工作日内，采购人向成交供应商支付合同总金额的40%作为首付款。</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（2）成交供应商提交项目最终成果并通过采购人验收后15个工作日内，采购人向成交供应商支付合同总金额50%尾款。</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（3）合同总金额的10%预留待支付，</w:t>
      </w:r>
      <w:r>
        <w:rPr>
          <w:rFonts w:hint="default" w:ascii="Times New Roman" w:hAnsi="Times New Roman" w:eastAsia="方正仿宋_GBK" w:cs="Times New Roman"/>
          <w:color w:val="auto"/>
          <w:sz w:val="28"/>
          <w:szCs w:val="28"/>
        </w:rPr>
        <w:t>运维体系建设质量保障周期为本项目验收后</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个月，</w:t>
      </w:r>
      <w:r>
        <w:rPr>
          <w:rFonts w:hint="eastAsia" w:ascii="Times New Roman" w:hAnsi="Times New Roman" w:eastAsia="方正仿宋_GBK" w:cs="Times New Roman"/>
          <w:color w:val="auto"/>
          <w:sz w:val="28"/>
          <w:szCs w:val="28"/>
          <w:lang w:val="en-US" w:eastAsia="zh-CN"/>
        </w:rPr>
        <w:t>待保障周期满</w:t>
      </w:r>
      <w:r>
        <w:rPr>
          <w:rFonts w:hint="default" w:ascii="Times New Roman" w:hAnsi="Times New Roman" w:eastAsia="方正仿宋_GBK" w:cs="Times New Roman"/>
          <w:color w:val="auto"/>
          <w:sz w:val="28"/>
          <w:szCs w:val="28"/>
          <w:lang w:val="en-US" w:eastAsia="zh-CN"/>
        </w:rPr>
        <w:t>无质量问题</w:t>
      </w:r>
      <w:r>
        <w:rPr>
          <w:rFonts w:hint="eastAsia" w:ascii="Times New Roman" w:hAnsi="Times New Roman" w:eastAsia="方正仿宋_GBK" w:cs="Times New Roman"/>
          <w:color w:val="auto"/>
          <w:sz w:val="28"/>
          <w:szCs w:val="28"/>
          <w:lang w:val="en-US" w:eastAsia="zh-CN"/>
        </w:rPr>
        <w:t>后支付。</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每阶段付款前，成交供应商需根据采购人要求开具与应付金额等额的有效发票。因成交供应商未及时出具合法有效完整的发票及请款凭证资料，导致采购人无法结算支付金额或延期支付的，采购人不承担违约责任。</w:t>
      </w:r>
    </w:p>
    <w:p>
      <w:pPr>
        <w:keepNext w:val="0"/>
        <w:keepLines w:val="0"/>
        <w:pageBreakBefore w:val="0"/>
        <w:widowControl w:val="0"/>
        <w:kinsoku/>
        <w:wordWrap/>
        <w:overflowPunct/>
        <w:topLinePunct w:val="0"/>
        <w:autoSpaceDE w:val="0"/>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（四）验收</w:t>
      </w:r>
      <w:r>
        <w:rPr>
          <w:rFonts w:hint="eastAsia" w:ascii="Times New Roman" w:hAnsi="Times New Roman" w:eastAsia="方正仿宋_GBK" w:cs="Times New Roman"/>
          <w:b/>
          <w:bCs/>
          <w:color w:val="auto"/>
          <w:sz w:val="28"/>
          <w:szCs w:val="28"/>
          <w:lang w:val="en-US" w:eastAsia="zh-CN"/>
        </w:rPr>
        <w:t>内容</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按照磋商文件要求和成交供应商响应文件内容进行验收。</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bookmarkStart w:id="76" w:name="_Toc112053981"/>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根据国家《数据中心基础设施运行维护标准》 GB/T51314-2018，对机房应急保障供电技术支持服务中运维体系建设内容验收。</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按照维保要求，提供技术支持服务日常维护服务内容巡检报告，每年对设备进行一次假负载测试，</w:t>
      </w:r>
      <w:r>
        <w:rPr>
          <w:rFonts w:hint="eastAsia" w:ascii="Times New Roman" w:hAnsi="Times New Roman" w:eastAsia="方正仿宋_GBK" w:cs="Times New Roman"/>
          <w:color w:val="auto"/>
          <w:sz w:val="28"/>
          <w:szCs w:val="28"/>
          <w:lang w:eastAsia="zh-CN"/>
        </w:rPr>
        <w:t>以</w:t>
      </w:r>
      <w:r>
        <w:rPr>
          <w:rFonts w:hint="default" w:ascii="Times New Roman" w:hAnsi="Times New Roman" w:eastAsia="方正仿宋_GBK" w:cs="Times New Roman"/>
          <w:color w:val="auto"/>
          <w:sz w:val="28"/>
          <w:szCs w:val="28"/>
        </w:rPr>
        <w:t>确保机组输出电压能达到效率，并出具相关测试报告单。</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提供年度服务工作报告、总结报告。</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运维体系建设质量保障周期为本项目验收后</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个月内，</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认为需要根据变化进行调整，</w:t>
      </w:r>
      <w:r>
        <w:rPr>
          <w:rFonts w:hint="eastAsia" w:ascii="Times New Roman" w:hAnsi="Times New Roman" w:eastAsia="方正仿宋_GBK" w:cs="Times New Roman"/>
          <w:color w:val="auto"/>
          <w:sz w:val="28"/>
          <w:szCs w:val="28"/>
          <w:lang w:val="en-US" w:eastAsia="zh-CN"/>
        </w:rPr>
        <w:t>成交供应商</w:t>
      </w:r>
      <w:r>
        <w:rPr>
          <w:rFonts w:hint="default" w:ascii="Times New Roman" w:hAnsi="Times New Roman" w:eastAsia="方正仿宋_GBK" w:cs="Times New Roman"/>
          <w:color w:val="auto"/>
          <w:sz w:val="28"/>
          <w:szCs w:val="28"/>
        </w:rPr>
        <w:t>需要配合完成。</w:t>
      </w:r>
    </w:p>
    <w:p>
      <w:pPr>
        <w:jc w:val="both"/>
        <w:rPr>
          <w:rFonts w:hint="default" w:ascii="Times New Roman" w:hAnsi="Times New Roman" w:eastAsia="方正仿宋_GBK" w:cs="Times New Roman"/>
          <w:b/>
          <w:bCs/>
          <w:color w:val="auto"/>
          <w:sz w:val="28"/>
          <w:szCs w:val="28"/>
        </w:rPr>
      </w:pPr>
    </w:p>
    <w:p>
      <w:pPr>
        <w:jc w:val="both"/>
        <w:rPr>
          <w:rFonts w:hint="default" w:ascii="Times New Roman" w:hAnsi="Times New Roman" w:eastAsia="方正仿宋_GBK" w:cs="Times New Roman"/>
          <w:b/>
          <w:bCs/>
          <w:color w:val="auto"/>
          <w:sz w:val="32"/>
          <w:szCs w:val="32"/>
        </w:rPr>
      </w:pPr>
    </w:p>
    <w:p>
      <w:pPr>
        <w:jc w:val="center"/>
        <w:rPr>
          <w:rFonts w:hint="default" w:ascii="Times New Roman" w:hAnsi="Times New Roman" w:eastAsia="方正仿宋_GBK"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r>
        <w:rPr>
          <w:rFonts w:ascii="仿宋" w:eastAsia="仿宋" w:cs="Times New Roman"/>
          <w:b/>
          <w:bCs/>
          <w:color w:val="auto"/>
          <w:sz w:val="32"/>
          <w:szCs w:val="32"/>
        </w:rPr>
        <w:t>第六章  磋商内容、磋商过程中可实质性变动的内容</w:t>
      </w:r>
      <w:bookmarkEnd w:id="76"/>
    </w:p>
    <w:p>
      <w:pPr>
        <w:tabs>
          <w:tab w:val="left" w:pos="7665"/>
        </w:tabs>
        <w:spacing w:line="401" w:lineRule="auto"/>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pStyle w:val="2"/>
        <w:rPr>
          <w:rFonts w:ascii="Times New Roman" w:hAnsi="Times New Roman" w:eastAsia="仿宋" w:cs="Times New Roman"/>
          <w:color w:val="auto"/>
          <w:sz w:val="24"/>
        </w:rPr>
      </w:pPr>
    </w:p>
    <w:p>
      <w:pPr>
        <w:pStyle w:val="2"/>
        <w:rPr>
          <w:rFonts w:ascii="Times New Roman" w:hAnsi="Times New Roman" w:eastAsia="仿宋" w:cs="Times New Roman"/>
          <w:color w:val="auto"/>
          <w:sz w:val="24"/>
        </w:rPr>
      </w:pPr>
    </w:p>
    <w:p>
      <w:pPr>
        <w:spacing w:line="401" w:lineRule="auto"/>
        <w:jc w:val="center"/>
        <w:outlineLvl w:val="0"/>
        <w:rPr>
          <w:rFonts w:ascii="仿宋" w:eastAsia="仿宋" w:cs="Times New Roman"/>
          <w:b/>
          <w:bCs/>
          <w:color w:val="auto"/>
          <w:sz w:val="32"/>
          <w:szCs w:val="32"/>
        </w:rPr>
      </w:pPr>
      <w:bookmarkStart w:id="77" w:name="_Toc112053982"/>
    </w:p>
    <w:p>
      <w:pPr>
        <w:pStyle w:val="2"/>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Times New Roman" w:hAnsi="Times New Roman" w:eastAsia="仿宋" w:cs="Times New Roman"/>
          <w:color w:val="auto"/>
          <w:sz w:val="24"/>
        </w:rPr>
      </w:pPr>
      <w:r>
        <w:rPr>
          <w:rFonts w:ascii="仿宋" w:eastAsia="仿宋" w:cs="Times New Roman"/>
          <w:b/>
          <w:bCs/>
          <w:color w:val="auto"/>
          <w:sz w:val="32"/>
          <w:szCs w:val="32"/>
        </w:rPr>
        <w:t>第七章  响应文件格式</w:t>
      </w:r>
      <w:bookmarkEnd w:id="77"/>
    </w:p>
    <w:p>
      <w:pPr>
        <w:spacing w:line="360" w:lineRule="auto"/>
        <w:ind w:firstLine="480" w:firstLineChars="200"/>
        <w:rPr>
          <w:rFonts w:ascii="仿宋" w:eastAsia="仿宋" w:cs="Times New Roman"/>
          <w:color w:val="auto"/>
          <w:kern w:val="2"/>
          <w:sz w:val="24"/>
          <w:szCs w:val="24"/>
        </w:rPr>
      </w:pP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pPr>
        <w:pStyle w:val="2"/>
        <w:ind w:left="0" w:leftChars="0" w:firstLine="0" w:firstLineChars="0"/>
        <w:rPr>
          <w:color w:val="auto"/>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pPr>
        <w:jc w:val="center"/>
        <w:rPr>
          <w:rFonts w:ascii="Times New Roman" w:hAnsi="Times New Roman" w:eastAsia="仿宋" w:cs="Times New Roman"/>
          <w:b/>
          <w:color w:val="auto"/>
          <w:sz w:val="32"/>
        </w:rPr>
      </w:pPr>
    </w:p>
    <w:p>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rPr>
          <w:rFonts w:ascii="Times New Roman" w:hAnsi="Times New Roman" w:eastAsia="仿宋" w:cs="Times New Roman"/>
          <w:b/>
          <w:color w:val="auto"/>
          <w:sz w:val="7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jc w:val="center"/>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p>
    <w:p>
      <w:pPr>
        <w:spacing w:line="439" w:lineRule="auto"/>
        <w:jc w:val="both"/>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pPr>
        <w:pStyle w:val="2"/>
        <w:ind w:left="0" w:leftChars="0" w:firstLine="0" w:firstLineChars="0"/>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pPr>
        <w:spacing w:line="360" w:lineRule="auto"/>
        <w:ind w:firstLine="790"/>
        <w:jc w:val="center"/>
        <w:rPr>
          <w:rFonts w:ascii="Times New Roman" w:hAnsi="Times New Roman" w:eastAsia="仿宋" w:cs="Times New Roman"/>
          <w:b/>
          <w:color w:val="auto"/>
          <w:sz w:val="24"/>
        </w:rPr>
      </w:pPr>
      <w:r>
        <w:rPr>
          <w:rFonts w:ascii="Times New Roman" w:hAnsi="Times New Roman" w:eastAsia="仿宋" w:cs="Times New Roman"/>
          <w:b/>
          <w:color w:val="auto"/>
          <w:sz w:val="32"/>
        </w:rPr>
        <w:t>一、法定代表人/单位负责人授权书</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jc w:val="left"/>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b/>
          <w:color w:val="auto"/>
          <w:sz w:val="24"/>
        </w:rPr>
      </w:pPr>
    </w:p>
    <w:p>
      <w:pPr>
        <w:pStyle w:val="2"/>
        <w:rPr>
          <w:color w:val="auto"/>
        </w:rPr>
      </w:pPr>
    </w:p>
    <w:p>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pPr>
        <w:spacing w:line="360" w:lineRule="auto"/>
        <w:jc w:val="center"/>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供应商和报价产品其他资格及其他类似效力要求的相关证明材料</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pStyle w:val="2"/>
        <w:rPr>
          <w:rFonts w:ascii="Times New Roman" w:hAnsi="Times New Roman" w:eastAsia="仿宋" w:cs="Times New Roman"/>
          <w:b/>
          <w:color w:val="auto"/>
          <w:sz w:val="32"/>
        </w:rPr>
      </w:pPr>
    </w:p>
    <w:p>
      <w:pPr>
        <w:pStyle w:val="2"/>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pPr>
        <w:spacing w:line="360" w:lineRule="auto"/>
        <w:jc w:val="center"/>
        <w:rPr>
          <w:rFonts w:ascii="Times New Roman" w:hAnsi="Times New Roman" w:eastAsia="仿宋" w:cs="Times New Roman"/>
          <w:b/>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w:t>
      </w:r>
      <w:r>
        <w:rPr>
          <w:rFonts w:hint="eastAsia" w:ascii="Times New Roman" w:hAnsi="Times New Roman" w:eastAsia="仿宋" w:cs="Times New Roman"/>
          <w:color w:val="auto"/>
          <w:sz w:val="24"/>
        </w:rPr>
        <w:t>四</w:t>
      </w:r>
      <w:r>
        <w:rPr>
          <w:rFonts w:ascii="Times New Roman" w:hAnsi="Times New Roman" w:eastAsia="仿宋" w:cs="Times New Roman"/>
          <w:color w:val="auto"/>
          <w:sz w:val="24"/>
        </w:rPr>
        <w:t>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注：1.根据国务院办公厅关于加快推进“多证合一”改革的指导意见（国办发【2017】41号）等政策要求，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both"/>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pPr>
        <w:ind w:firstLine="480"/>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pPr>
        <w:jc w:val="center"/>
        <w:rPr>
          <w:rFonts w:ascii="Times New Roman" w:hAnsi="Times New Roman" w:eastAsia="仿宋" w:cs="Times New Roman"/>
          <w:b/>
          <w:color w:val="auto"/>
          <w:sz w:val="24"/>
        </w:rPr>
      </w:pPr>
    </w:p>
    <w:p>
      <w:pPr>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履约保证金”的实质性要求，并承诺严格按照磋商文件要求履行。</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color w:val="auto"/>
          <w:sz w:val="24"/>
        </w:rPr>
      </w:pPr>
    </w:p>
    <w:p>
      <w:pPr>
        <w:rPr>
          <w:rFonts w:ascii="Times New Roman" w:hAnsi="Times New Roman" w:eastAsia="仿宋" w:cs="Times New Roman"/>
          <w:color w:val="auto"/>
          <w:sz w:val="24"/>
        </w:rPr>
      </w:pP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pPr>
        <w:jc w:val="center"/>
        <w:rPr>
          <w:rFonts w:ascii="仿宋" w:eastAsia="仿宋"/>
          <w:b/>
          <w:bCs/>
          <w:color w:val="auto"/>
          <w:sz w:val="32"/>
          <w:szCs w:val="32"/>
        </w:rPr>
      </w:pPr>
      <w:r>
        <w:rPr>
          <w:rFonts w:hint="eastAsia" w:ascii="仿宋" w:eastAsia="仿宋"/>
          <w:b/>
          <w:bCs/>
          <w:color w:val="auto"/>
          <w:sz w:val="32"/>
          <w:szCs w:val="32"/>
        </w:rPr>
        <w:t xml:space="preserve"> 供应商基本情况表</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供应商名称</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注册地址</w:t>
            </w:r>
          </w:p>
        </w:tc>
        <w:tc>
          <w:tcPr>
            <w:tcW w:w="4680" w:type="dxa"/>
            <w:gridSpan w:val="6"/>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邮政编码</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color w:val="auto"/>
                <w:szCs w:val="21"/>
              </w:rPr>
            </w:pPr>
            <w:r>
              <w:rPr>
                <w:rFonts w:hint="eastAsia" w:ascii="仿宋" w:eastAsia="仿宋"/>
                <w:bCs/>
                <w:color w:val="auto"/>
                <w:szCs w:val="21"/>
              </w:rPr>
              <w:t>联系方式</w:t>
            </w:r>
          </w:p>
        </w:tc>
        <w:tc>
          <w:tcPr>
            <w:tcW w:w="108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联系人</w:t>
            </w:r>
          </w:p>
        </w:tc>
        <w:tc>
          <w:tcPr>
            <w:tcW w:w="3600" w:type="dxa"/>
            <w:gridSpan w:val="5"/>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color w:val="auto"/>
              </w:rPr>
            </w:pPr>
          </w:p>
        </w:tc>
        <w:tc>
          <w:tcPr>
            <w:tcW w:w="108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传真</w:t>
            </w:r>
          </w:p>
        </w:tc>
        <w:tc>
          <w:tcPr>
            <w:tcW w:w="3600" w:type="dxa"/>
            <w:gridSpan w:val="5"/>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网址</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组织结构</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法定代表人/单位负责人</w:t>
            </w:r>
          </w:p>
        </w:tc>
        <w:tc>
          <w:tcPr>
            <w:tcW w:w="1260" w:type="dxa"/>
            <w:gridSpan w:val="2"/>
            <w:shd w:val="clear" w:color="auto" w:fill="auto"/>
            <w:vAlign w:val="center"/>
          </w:tcPr>
          <w:p>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pPr>
              <w:jc w:val="center"/>
              <w:rPr>
                <w:rFonts w:ascii="仿宋" w:eastAsia="仿宋"/>
                <w:bCs/>
                <w:color w:val="auto"/>
                <w:szCs w:val="21"/>
              </w:rPr>
            </w:pPr>
          </w:p>
        </w:tc>
        <w:tc>
          <w:tcPr>
            <w:tcW w:w="126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技术负责人</w:t>
            </w:r>
          </w:p>
        </w:tc>
        <w:tc>
          <w:tcPr>
            <w:tcW w:w="1260" w:type="dxa"/>
            <w:gridSpan w:val="2"/>
            <w:shd w:val="clear" w:color="auto" w:fill="auto"/>
            <w:vAlign w:val="center"/>
          </w:tcPr>
          <w:p>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pPr>
              <w:jc w:val="center"/>
              <w:rPr>
                <w:rFonts w:ascii="仿宋" w:eastAsia="仿宋"/>
                <w:bCs/>
                <w:color w:val="auto"/>
                <w:szCs w:val="21"/>
              </w:rPr>
            </w:pPr>
          </w:p>
        </w:tc>
        <w:tc>
          <w:tcPr>
            <w:tcW w:w="126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成立时间</w:t>
            </w:r>
          </w:p>
        </w:tc>
        <w:tc>
          <w:tcPr>
            <w:tcW w:w="2520" w:type="dxa"/>
            <w:gridSpan w:val="3"/>
            <w:vAlign w:val="center"/>
          </w:tcPr>
          <w:p>
            <w:pPr>
              <w:jc w:val="center"/>
              <w:rPr>
                <w:rFonts w:ascii="仿宋" w:eastAsia="仿宋"/>
                <w:bCs/>
                <w:color w:val="auto"/>
                <w:szCs w:val="21"/>
              </w:rPr>
            </w:pPr>
          </w:p>
        </w:tc>
        <w:tc>
          <w:tcPr>
            <w:tcW w:w="5040" w:type="dxa"/>
            <w:gridSpan w:val="8"/>
            <w:vAlign w:val="center"/>
          </w:tcPr>
          <w:p>
            <w:pPr>
              <w:jc w:val="center"/>
              <w:rPr>
                <w:rFonts w:ascii="仿宋" w:eastAsia="仿宋"/>
                <w:bCs/>
                <w:color w:val="auto"/>
                <w:szCs w:val="21"/>
              </w:rPr>
            </w:pPr>
            <w:r>
              <w:rPr>
                <w:rFonts w:hint="eastAsia" w:ascii="仿宋" w:eastAsia="仿宋"/>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企业资质等级</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restart"/>
            <w:shd w:val="clear" w:color="auto" w:fill="auto"/>
            <w:vAlign w:val="center"/>
          </w:tcPr>
          <w:p>
            <w:pPr>
              <w:jc w:val="center"/>
              <w:rPr>
                <w:rFonts w:ascii="仿宋" w:eastAsia="仿宋"/>
                <w:bCs/>
                <w:color w:val="auto"/>
                <w:szCs w:val="21"/>
              </w:rPr>
            </w:pPr>
            <w:r>
              <w:rPr>
                <w:rFonts w:hint="eastAsia" w:ascii="仿宋" w:eastAsia="仿宋"/>
                <w:bCs/>
                <w:color w:val="auto"/>
                <w:szCs w:val="21"/>
              </w:rPr>
              <w:t>其中</w:t>
            </w: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项目经理</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营业执照</w:t>
            </w:r>
            <w:r>
              <w:rPr>
                <w:rFonts w:hint="eastAsia" w:ascii="仿宋" w:eastAsia="仿宋"/>
                <w:color w:val="auto"/>
              </w:rPr>
              <w:t>号</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高级职称人员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注册资金</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中级职称人员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开户银行</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初级职称人员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账号</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技工</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经营范围</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备注</w:t>
            </w:r>
          </w:p>
        </w:tc>
        <w:tc>
          <w:tcPr>
            <w:tcW w:w="7560" w:type="dxa"/>
            <w:gridSpan w:val="11"/>
            <w:vAlign w:val="center"/>
          </w:tcPr>
          <w:p>
            <w:pPr>
              <w:jc w:val="center"/>
              <w:rPr>
                <w:rFonts w:ascii="仿宋" w:eastAsia="仿宋"/>
                <w:bCs/>
                <w:color w:val="auto"/>
                <w:szCs w:val="21"/>
              </w:rPr>
            </w:pPr>
          </w:p>
        </w:tc>
      </w:tr>
    </w:tbl>
    <w:p>
      <w:pPr>
        <w:adjustRightInd w:val="0"/>
        <w:spacing w:line="400" w:lineRule="exact"/>
        <w:jc w:val="left"/>
        <w:rPr>
          <w:rFonts w:ascii="仿宋" w:eastAsia="仿宋"/>
          <w:color w:val="auto"/>
          <w:sz w:val="24"/>
        </w:rPr>
      </w:pPr>
    </w:p>
    <w:p>
      <w:pPr>
        <w:adjustRightInd w:val="0"/>
        <w:spacing w:line="400" w:lineRule="exact"/>
        <w:jc w:val="left"/>
        <w:rPr>
          <w:rFonts w:ascii="仿宋" w:eastAsia="仿宋"/>
          <w:color w:val="auto"/>
          <w:sz w:val="24"/>
        </w:rPr>
      </w:pPr>
      <w:r>
        <w:rPr>
          <w:rFonts w:hint="eastAsia" w:ascii="仿宋" w:eastAsia="仿宋"/>
          <w:color w:val="auto"/>
          <w:sz w:val="24"/>
        </w:rPr>
        <w:t>供应商名称：XXX（盖单位公章）</w:t>
      </w:r>
    </w:p>
    <w:p>
      <w:pPr>
        <w:adjustRightInd w:val="0"/>
        <w:spacing w:line="400" w:lineRule="exact"/>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pPr>
        <w:adjustRightInd w:val="0"/>
        <w:spacing w:line="400" w:lineRule="exact"/>
        <w:jc w:val="left"/>
        <w:rPr>
          <w:rFonts w:ascii="仿宋" w:eastAsia="仿宋"/>
          <w:bCs/>
          <w:color w:val="auto"/>
          <w:sz w:val="24"/>
        </w:rPr>
      </w:pPr>
      <w:r>
        <w:rPr>
          <w:rFonts w:hint="eastAsia" w:ascii="仿宋" w:eastAsia="仿宋"/>
          <w:bCs/>
          <w:color w:val="auto"/>
          <w:sz w:val="24"/>
        </w:rPr>
        <w:t>日期：XXX年XXX月XXX日</w:t>
      </w:r>
    </w:p>
    <w:p>
      <w:pPr>
        <w:spacing w:line="360" w:lineRule="auto"/>
        <w:ind w:firstLine="470"/>
        <w:jc w:val="left"/>
        <w:rPr>
          <w:rFonts w:ascii="Times New Roman" w:hAnsi="Times New Roman" w:eastAsia="仿宋" w:cs="Times New Roman"/>
          <w:color w:val="auto"/>
          <w:sz w:val="24"/>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pPr>
        <w:spacing w:before="260" w:after="260" w:line="401" w:lineRule="auto"/>
        <w:jc w:val="center"/>
        <w:rPr>
          <w:rFonts w:ascii="Times New Roman" w:hAnsi="Times New Roman" w:eastAsia="仿宋" w:cs="Times New Roman"/>
          <w:b/>
          <w:color w:val="auto"/>
          <w:sz w:val="44"/>
        </w:rPr>
      </w:pPr>
      <w:r>
        <w:rPr>
          <w:rFonts w:ascii="Times New Roman" w:hAnsi="Times New Roman" w:eastAsia="仿宋" w:cs="Times New Roman"/>
          <w:color w:val="auto"/>
          <w:sz w:val="32"/>
        </w:rPr>
        <w:t xml:space="preserve"> 制造商家授权书</w:t>
      </w:r>
      <w:r>
        <w:rPr>
          <w:rFonts w:hint="eastAsia" w:ascii="Times New Roman" w:hAnsi="Times New Roman" w:eastAsia="仿宋" w:cs="Times New Roman"/>
          <w:color w:val="auto"/>
          <w:sz w:val="32"/>
        </w:rPr>
        <w:t>（</w:t>
      </w:r>
      <w:r>
        <w:rPr>
          <w:rFonts w:ascii="Times New Roman" w:hAnsi="Times New Roman" w:eastAsia="仿宋" w:cs="Times New Roman"/>
          <w:color w:val="auto"/>
          <w:sz w:val="32"/>
        </w:rPr>
        <w:t>如涉及</w:t>
      </w:r>
      <w:r>
        <w:rPr>
          <w:rFonts w:hint="eastAsia" w:ascii="Times New Roman" w:hAnsi="Times New Roman" w:eastAsia="仿宋" w:cs="Times New Roman"/>
          <w:color w:val="auto"/>
          <w:sz w:val="32"/>
        </w:rPr>
        <w:t>）</w:t>
      </w:r>
    </w:p>
    <w:p>
      <w:pPr>
        <w:spacing w:line="401"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XXX（制造商家名称）是在XXX（国名）依法登记注册的，其厂址现在XXX。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color w:val="auto"/>
          <w:sz w:val="24"/>
        </w:rPr>
      </w:pP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授权单位名称：XXX（盖单位公章） </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附：授权销售产品清单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6</w:t>
      </w:r>
    </w:p>
    <w:p>
      <w:pPr>
        <w:jc w:val="center"/>
        <w:outlineLvl w:val="2"/>
        <w:rPr>
          <w:rFonts w:ascii="仿宋" w:eastAsia="仿宋"/>
          <w:b/>
          <w:bCs/>
          <w:color w:val="auto"/>
          <w:sz w:val="32"/>
          <w:szCs w:val="32"/>
        </w:rPr>
      </w:pPr>
      <w:r>
        <w:rPr>
          <w:rFonts w:hint="eastAsia" w:ascii="仿宋" w:eastAsia="仿宋"/>
          <w:b/>
          <w:bCs/>
          <w:color w:val="auto"/>
          <w:sz w:val="32"/>
          <w:szCs w:val="32"/>
        </w:rPr>
        <w:t>响应</w:t>
      </w:r>
      <w:r>
        <w:rPr>
          <w:rFonts w:ascii="仿宋" w:eastAsia="仿宋"/>
          <w:b/>
          <w:bCs/>
          <w:color w:val="auto"/>
          <w:sz w:val="32"/>
          <w:szCs w:val="32"/>
        </w:rPr>
        <w:t>产品</w:t>
      </w:r>
      <w:r>
        <w:rPr>
          <w:rFonts w:hint="eastAsia" w:ascii="仿宋" w:eastAsia="仿宋"/>
          <w:b/>
          <w:bCs/>
          <w:color w:val="auto"/>
          <w:sz w:val="32"/>
          <w:szCs w:val="32"/>
        </w:rPr>
        <w:t>技术、服务要求应答表</w:t>
      </w:r>
    </w:p>
    <w:p>
      <w:pPr>
        <w:jc w:val="center"/>
        <w:rPr>
          <w:rFonts w:ascii="仿宋" w:eastAsia="仿宋"/>
          <w:bCs/>
          <w:color w:val="auto"/>
          <w:sz w:val="32"/>
          <w:szCs w:val="32"/>
        </w:rPr>
      </w:pPr>
    </w:p>
    <w:tbl>
      <w:tblPr>
        <w:tblStyle w:val="2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color w:val="auto"/>
                <w:sz w:val="24"/>
              </w:rPr>
            </w:pPr>
            <w:r>
              <w:rPr>
                <w:rFonts w:hint="eastAsia" w:ascii="仿宋" w:eastAsia="仿宋"/>
                <w:color w:val="auto"/>
                <w:sz w:val="24"/>
              </w:rPr>
              <w:t>序号</w:t>
            </w:r>
          </w:p>
        </w:tc>
        <w:tc>
          <w:tcPr>
            <w:tcW w:w="787" w:type="dxa"/>
            <w:vAlign w:val="center"/>
          </w:tcPr>
          <w:p>
            <w:pPr>
              <w:jc w:val="center"/>
              <w:rPr>
                <w:rFonts w:ascii="仿宋" w:eastAsia="仿宋"/>
                <w:color w:val="auto"/>
                <w:sz w:val="24"/>
              </w:rPr>
            </w:pPr>
            <w:r>
              <w:rPr>
                <w:rFonts w:hint="eastAsia" w:ascii="仿宋" w:eastAsia="仿宋"/>
                <w:color w:val="auto"/>
                <w:sz w:val="24"/>
              </w:rPr>
              <w:t>包号</w:t>
            </w:r>
          </w:p>
        </w:tc>
        <w:tc>
          <w:tcPr>
            <w:tcW w:w="1417" w:type="dxa"/>
            <w:vAlign w:val="center"/>
          </w:tcPr>
          <w:p>
            <w:pPr>
              <w:rPr>
                <w:rFonts w:ascii="仿宋" w:eastAsia="仿宋"/>
                <w:color w:val="auto"/>
                <w:sz w:val="24"/>
              </w:rPr>
            </w:pPr>
            <w:r>
              <w:rPr>
                <w:rFonts w:hint="eastAsia" w:ascii="仿宋" w:eastAsia="仿宋"/>
                <w:color w:val="auto"/>
                <w:sz w:val="24"/>
              </w:rPr>
              <w:t>产品</w:t>
            </w:r>
            <w:r>
              <w:rPr>
                <w:rFonts w:ascii="仿宋" w:eastAsia="仿宋"/>
                <w:color w:val="auto"/>
                <w:sz w:val="24"/>
              </w:rPr>
              <w:t>名称</w:t>
            </w:r>
          </w:p>
        </w:tc>
        <w:tc>
          <w:tcPr>
            <w:tcW w:w="1582" w:type="dxa"/>
          </w:tcPr>
          <w:p>
            <w:pPr>
              <w:jc w:val="center"/>
              <w:rPr>
                <w:rFonts w:ascii="仿宋" w:eastAsia="仿宋"/>
                <w:color w:val="auto"/>
                <w:sz w:val="24"/>
              </w:rPr>
            </w:pPr>
            <w:r>
              <w:rPr>
                <w:rFonts w:hint="eastAsia" w:ascii="仿宋" w:eastAsia="仿宋"/>
                <w:color w:val="auto"/>
                <w:sz w:val="24"/>
              </w:rPr>
              <w:t>制造厂家及规格型号</w:t>
            </w:r>
          </w:p>
        </w:tc>
        <w:tc>
          <w:tcPr>
            <w:tcW w:w="2529" w:type="dxa"/>
            <w:vAlign w:val="center"/>
          </w:tcPr>
          <w:p>
            <w:pPr>
              <w:jc w:val="center"/>
              <w:rPr>
                <w:rFonts w:ascii="仿宋" w:eastAsia="仿宋"/>
                <w:color w:val="auto"/>
                <w:sz w:val="24"/>
              </w:rPr>
            </w:pPr>
            <w:r>
              <w:rPr>
                <w:rFonts w:hint="eastAsia" w:ascii="仿宋" w:eastAsia="仿宋"/>
                <w:color w:val="auto"/>
                <w:sz w:val="24"/>
              </w:rPr>
              <w:t>采购文件要求</w:t>
            </w:r>
          </w:p>
        </w:tc>
        <w:tc>
          <w:tcPr>
            <w:tcW w:w="2693" w:type="dxa"/>
            <w:vAlign w:val="center"/>
          </w:tcPr>
          <w:p>
            <w:pPr>
              <w:jc w:val="center"/>
              <w:rPr>
                <w:rFonts w:ascii="仿宋" w:eastAsia="仿宋"/>
                <w:color w:val="auto"/>
                <w:sz w:val="24"/>
              </w:rPr>
            </w:pPr>
            <w:r>
              <w:rPr>
                <w:rFonts w:hint="eastAsia" w:asci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bl>
    <w:p>
      <w:pPr>
        <w:ind w:firstLine="480" w:firstLineChars="200"/>
        <w:rPr>
          <w:rFonts w:ascii="仿宋" w:eastAsia="仿宋"/>
          <w:color w:val="auto"/>
          <w:sz w:val="24"/>
        </w:rPr>
      </w:pPr>
    </w:p>
    <w:p>
      <w:pPr>
        <w:ind w:firstLine="480" w:firstLineChars="200"/>
        <w:rPr>
          <w:rFonts w:ascii="仿宋" w:eastAsia="仿宋"/>
          <w:color w:val="auto"/>
          <w:sz w:val="24"/>
        </w:rPr>
      </w:pPr>
      <w:r>
        <w:rPr>
          <w:rFonts w:hint="eastAsia" w:ascii="仿宋" w:eastAsia="仿宋"/>
          <w:color w:val="auto"/>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color w:val="auto"/>
          <w:sz w:val="24"/>
        </w:rPr>
      </w:pPr>
    </w:p>
    <w:p>
      <w:pPr>
        <w:adjustRightInd w:val="0"/>
        <w:spacing w:line="400" w:lineRule="exact"/>
        <w:ind w:firstLine="480" w:firstLineChars="200"/>
        <w:jc w:val="left"/>
        <w:rPr>
          <w:rFonts w:ascii="仿宋" w:eastAsia="仿宋"/>
          <w:color w:val="auto"/>
          <w:sz w:val="24"/>
        </w:rPr>
      </w:pPr>
      <w:r>
        <w:rPr>
          <w:rFonts w:hint="eastAsia" w:ascii="仿宋" w:eastAsia="仿宋"/>
          <w:color w:val="auto"/>
          <w:sz w:val="24"/>
        </w:rPr>
        <w:t>供应商名称：XXX（盖单位公章）</w:t>
      </w:r>
    </w:p>
    <w:p>
      <w:pPr>
        <w:adjustRightInd w:val="0"/>
        <w:spacing w:line="400" w:lineRule="exact"/>
        <w:ind w:firstLine="480" w:firstLineChars="200"/>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pPr>
        <w:adjustRightInd w:val="0"/>
        <w:spacing w:line="400" w:lineRule="exact"/>
        <w:ind w:firstLine="540" w:firstLineChars="225"/>
        <w:jc w:val="left"/>
        <w:rPr>
          <w:rFonts w:ascii="仿宋" w:eastAsia="仿宋"/>
          <w:bCs/>
          <w:color w:val="auto"/>
          <w:sz w:val="24"/>
        </w:rPr>
      </w:pPr>
      <w:r>
        <w:rPr>
          <w:rFonts w:hint="eastAsia" w:ascii="仿宋" w:eastAsia="仿宋"/>
          <w:bCs/>
          <w:color w:val="auto"/>
          <w:sz w:val="24"/>
        </w:rPr>
        <w:t>日期</w:t>
      </w:r>
      <w:r>
        <w:rPr>
          <w:rFonts w:hint="eastAsia" w:ascii="仿宋" w:eastAsia="仿宋"/>
          <w:color w:val="auto"/>
          <w:sz w:val="24"/>
        </w:rPr>
        <w:t>：</w:t>
      </w:r>
      <w:r>
        <w:rPr>
          <w:rFonts w:hint="eastAsia" w:ascii="仿宋" w:eastAsia="仿宋"/>
          <w:bCs/>
          <w:color w:val="auto"/>
          <w:sz w:val="24"/>
        </w:rPr>
        <w:t>XXX年XXX月XXX日</w:t>
      </w: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tabs>
          <w:tab w:val="left" w:pos="0"/>
        </w:tabs>
        <w:spacing w:line="401"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rPr>
          <w:rFonts w:ascii="Times New Roman" w:hAnsi="Times New Roman" w:eastAsia="仿宋" w:cs="Times New Roman"/>
          <w:b/>
          <w:color w:val="auto"/>
          <w:sz w:val="32"/>
        </w:rPr>
      </w:pPr>
    </w:p>
    <w:p>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7</w:t>
      </w:r>
    </w:p>
    <w:p>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color w:val="auto"/>
                <w:sz w:val="24"/>
              </w:rPr>
            </w:pPr>
            <w:r>
              <w:rPr>
                <w:rFonts w:hint="eastAsia" w:ascii="仿宋" w:eastAsia="仿宋"/>
                <w:color w:val="auto"/>
                <w:sz w:val="24"/>
              </w:rPr>
              <w:t>序号</w:t>
            </w:r>
          </w:p>
        </w:tc>
        <w:tc>
          <w:tcPr>
            <w:tcW w:w="2795" w:type="dxa"/>
            <w:vAlign w:val="center"/>
          </w:tcPr>
          <w:p>
            <w:pPr>
              <w:jc w:val="center"/>
              <w:rPr>
                <w:rFonts w:ascii="仿宋" w:eastAsia="仿宋"/>
                <w:color w:val="auto"/>
                <w:sz w:val="24"/>
              </w:rPr>
            </w:pPr>
            <w:r>
              <w:rPr>
                <w:rFonts w:hint="eastAsia" w:ascii="仿宋" w:eastAsia="仿宋"/>
                <w:color w:val="auto"/>
                <w:sz w:val="24"/>
              </w:rPr>
              <w:t>包号</w:t>
            </w:r>
          </w:p>
        </w:tc>
        <w:tc>
          <w:tcPr>
            <w:tcW w:w="2795" w:type="dxa"/>
            <w:vAlign w:val="center"/>
          </w:tcPr>
          <w:p>
            <w:pPr>
              <w:jc w:val="center"/>
              <w:rPr>
                <w:rFonts w:ascii="仿宋" w:eastAsia="仿宋"/>
                <w:color w:val="auto"/>
                <w:sz w:val="24"/>
              </w:rPr>
            </w:pPr>
            <w:r>
              <w:rPr>
                <w:rFonts w:hint="eastAsia" w:ascii="仿宋" w:eastAsia="仿宋"/>
                <w:color w:val="auto"/>
                <w:sz w:val="24"/>
              </w:rPr>
              <w:t>采购文件要求</w:t>
            </w:r>
          </w:p>
        </w:tc>
        <w:tc>
          <w:tcPr>
            <w:tcW w:w="2795" w:type="dxa"/>
            <w:vAlign w:val="center"/>
          </w:tcPr>
          <w:p>
            <w:pPr>
              <w:jc w:val="center"/>
              <w:rPr>
                <w:rFonts w:ascii="仿宋" w:eastAsia="仿宋"/>
                <w:color w:val="auto"/>
                <w:sz w:val="24"/>
              </w:rPr>
            </w:pPr>
            <w:r>
              <w:rPr>
                <w:rFonts w:hint="eastAsia" w:asci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bl>
    <w:p>
      <w:pPr>
        <w:pStyle w:val="32"/>
        <w:rPr>
          <w:color w:val="auto"/>
        </w:rPr>
      </w:pPr>
    </w:p>
    <w:p>
      <w:pPr>
        <w:ind w:firstLine="482"/>
        <w:rPr>
          <w:rFonts w:ascii="Times New Roman" w:hAnsi="Times New Roman" w:eastAsia="仿宋" w:cs="Times New Roman"/>
          <w:b/>
          <w:color w:val="auto"/>
          <w:sz w:val="24"/>
        </w:rPr>
      </w:pPr>
    </w:p>
    <w:p>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8</w:t>
      </w:r>
    </w:p>
    <w:p>
      <w:pPr>
        <w:ind w:firstLine="420"/>
        <w:rPr>
          <w:rFonts w:ascii="Times New Roman" w:hAnsi="Times New Roman" w:eastAsia="仿宋" w:cs="Times New Roman"/>
          <w:b/>
          <w:color w:val="auto"/>
          <w:sz w:val="24"/>
        </w:rPr>
      </w:pPr>
    </w:p>
    <w:p>
      <w:pPr>
        <w:jc w:val="center"/>
        <w:rPr>
          <w:rFonts w:ascii="仿宋" w:eastAsia="仿宋"/>
          <w:b/>
          <w:bCs/>
          <w:color w:val="auto"/>
          <w:sz w:val="32"/>
          <w:szCs w:val="32"/>
        </w:rPr>
      </w:pPr>
      <w:r>
        <w:rPr>
          <w:rFonts w:ascii="Times New Roman" w:hAnsi="Times New Roman" w:eastAsia="仿宋" w:cs="Times New Roman"/>
          <w:color w:val="auto"/>
          <w:sz w:val="24"/>
        </w:rPr>
        <w:t xml:space="preserve"> </w:t>
      </w:r>
      <w:r>
        <w:rPr>
          <w:rFonts w:hint="eastAsia" w:ascii="仿宋" w:eastAsia="仿宋"/>
          <w:b/>
          <w:bCs/>
          <w:color w:val="auto"/>
          <w:sz w:val="32"/>
          <w:szCs w:val="32"/>
        </w:rPr>
        <w:t xml:space="preserve"> 供应商类似项目业绩一览表</w:t>
      </w:r>
    </w:p>
    <w:p>
      <w:pPr>
        <w:spacing w:line="400" w:lineRule="exact"/>
        <w:rPr>
          <w:rFonts w:ascii="仿宋" w:eastAsia="仿宋"/>
          <w:color w:val="auto"/>
          <w:sz w:val="24"/>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color w:val="auto"/>
              </w:rPr>
            </w:pPr>
            <w:r>
              <w:rPr>
                <w:rFonts w:hint="eastAsia" w:ascii="仿宋" w:eastAsia="仿宋"/>
                <w:b/>
                <w:color w:val="auto"/>
              </w:rPr>
              <w:t>年份</w:t>
            </w:r>
          </w:p>
        </w:tc>
        <w:tc>
          <w:tcPr>
            <w:tcW w:w="1439" w:type="dxa"/>
            <w:vAlign w:val="center"/>
          </w:tcPr>
          <w:p>
            <w:pPr>
              <w:spacing w:line="400" w:lineRule="exact"/>
              <w:jc w:val="center"/>
              <w:rPr>
                <w:rFonts w:ascii="仿宋" w:eastAsia="仿宋"/>
                <w:b/>
                <w:color w:val="auto"/>
              </w:rPr>
            </w:pPr>
            <w:r>
              <w:rPr>
                <w:rFonts w:hint="eastAsia" w:ascii="仿宋" w:eastAsia="仿宋"/>
                <w:b/>
                <w:color w:val="auto"/>
              </w:rPr>
              <w:t>用户名称</w:t>
            </w:r>
          </w:p>
        </w:tc>
        <w:tc>
          <w:tcPr>
            <w:tcW w:w="1319" w:type="dxa"/>
            <w:vAlign w:val="center"/>
          </w:tcPr>
          <w:p>
            <w:pPr>
              <w:spacing w:line="400" w:lineRule="exact"/>
              <w:jc w:val="center"/>
              <w:rPr>
                <w:rFonts w:ascii="仿宋" w:eastAsia="仿宋"/>
                <w:b/>
                <w:color w:val="auto"/>
              </w:rPr>
            </w:pPr>
            <w:r>
              <w:rPr>
                <w:rFonts w:ascii="仿宋" w:eastAsia="仿宋"/>
                <w:b/>
                <w:color w:val="auto"/>
              </w:rPr>
              <w:t>项目名称</w:t>
            </w:r>
          </w:p>
        </w:tc>
        <w:tc>
          <w:tcPr>
            <w:tcW w:w="1160" w:type="dxa"/>
            <w:vAlign w:val="center"/>
          </w:tcPr>
          <w:p>
            <w:pPr>
              <w:spacing w:line="400" w:lineRule="exact"/>
              <w:jc w:val="center"/>
              <w:rPr>
                <w:rFonts w:ascii="仿宋" w:eastAsia="仿宋"/>
                <w:b/>
                <w:color w:val="auto"/>
              </w:rPr>
            </w:pPr>
            <w:r>
              <w:rPr>
                <w:rFonts w:ascii="仿宋" w:eastAsia="仿宋"/>
                <w:b/>
                <w:color w:val="auto"/>
              </w:rPr>
              <w:t>完成时间</w:t>
            </w:r>
          </w:p>
        </w:tc>
        <w:tc>
          <w:tcPr>
            <w:tcW w:w="1421" w:type="dxa"/>
            <w:gridSpan w:val="2"/>
            <w:vAlign w:val="center"/>
          </w:tcPr>
          <w:p>
            <w:pPr>
              <w:spacing w:line="400" w:lineRule="exact"/>
              <w:ind w:firstLine="105" w:firstLineChars="50"/>
              <w:jc w:val="center"/>
              <w:rPr>
                <w:rFonts w:ascii="仿宋" w:eastAsia="仿宋"/>
                <w:b/>
                <w:color w:val="auto"/>
              </w:rPr>
            </w:pPr>
            <w:r>
              <w:rPr>
                <w:rFonts w:ascii="仿宋" w:eastAsia="仿宋"/>
                <w:b/>
                <w:color w:val="auto"/>
              </w:rPr>
              <w:t>合同金额</w:t>
            </w:r>
          </w:p>
        </w:tc>
        <w:tc>
          <w:tcPr>
            <w:tcW w:w="1614" w:type="dxa"/>
            <w:gridSpan w:val="2"/>
            <w:tcBorders>
              <w:right w:val="single" w:color="auto" w:sz="4" w:space="0"/>
            </w:tcBorders>
            <w:vAlign w:val="center"/>
          </w:tcPr>
          <w:p>
            <w:pPr>
              <w:spacing w:line="400" w:lineRule="exact"/>
              <w:jc w:val="center"/>
              <w:rPr>
                <w:rFonts w:ascii="仿宋" w:eastAsia="仿宋"/>
                <w:b/>
                <w:color w:val="auto"/>
              </w:rPr>
            </w:pPr>
            <w:r>
              <w:rPr>
                <w:rFonts w:hint="eastAsia" w:ascii="仿宋" w:eastAsia="仿宋"/>
                <w:b/>
                <w:color w:val="auto"/>
              </w:rPr>
              <w:t>是否通过验收</w:t>
            </w:r>
          </w:p>
        </w:tc>
        <w:tc>
          <w:tcPr>
            <w:tcW w:w="1387" w:type="dxa"/>
            <w:gridSpan w:val="2"/>
            <w:tcBorders>
              <w:left w:val="single" w:color="auto" w:sz="4" w:space="0"/>
            </w:tcBorders>
            <w:vAlign w:val="center"/>
          </w:tcPr>
          <w:p>
            <w:pPr>
              <w:spacing w:line="400" w:lineRule="exact"/>
              <w:jc w:val="center"/>
              <w:rPr>
                <w:rFonts w:ascii="仿宋" w:eastAsia="仿宋"/>
                <w:b/>
                <w:color w:val="auto"/>
              </w:rPr>
            </w:pPr>
            <w:r>
              <w:rPr>
                <w:rFonts w:hint="eastAsia" w:ascii="仿宋" w:eastAsia="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tcBorders>
              <w:right w:val="single" w:color="auto" w:sz="4" w:space="0"/>
            </w:tcBorders>
            <w:vAlign w:val="center"/>
          </w:tcPr>
          <w:p>
            <w:pPr>
              <w:spacing w:line="400" w:lineRule="exact"/>
              <w:jc w:val="center"/>
              <w:rPr>
                <w:rFonts w:ascii="仿宋" w:eastAsia="仿宋"/>
                <w:color w:val="auto"/>
              </w:rPr>
            </w:pPr>
          </w:p>
        </w:tc>
        <w:tc>
          <w:tcPr>
            <w:tcW w:w="1319" w:type="dxa"/>
            <w:tcBorders>
              <w:left w:val="single" w:color="auto" w:sz="4" w:space="0"/>
            </w:tcBorders>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color w:val="auto"/>
              </w:rPr>
            </w:pPr>
          </w:p>
        </w:tc>
        <w:tc>
          <w:tcPr>
            <w:tcW w:w="1439" w:type="dxa"/>
            <w:tcBorders>
              <w:left w:val="single" w:color="auto" w:sz="4" w:space="0"/>
              <w:right w:val="single" w:color="auto" w:sz="4" w:space="0"/>
            </w:tcBorders>
            <w:vAlign w:val="center"/>
          </w:tcPr>
          <w:p>
            <w:pPr>
              <w:spacing w:line="400" w:lineRule="exact"/>
              <w:rPr>
                <w:rFonts w:ascii="仿宋" w:eastAsia="仿宋"/>
                <w:color w:val="auto"/>
              </w:rPr>
            </w:pPr>
          </w:p>
        </w:tc>
        <w:tc>
          <w:tcPr>
            <w:tcW w:w="1319" w:type="dxa"/>
            <w:tcBorders>
              <w:left w:val="single" w:color="auto" w:sz="4" w:space="0"/>
              <w:right w:val="single" w:color="auto" w:sz="4" w:space="0"/>
            </w:tcBorders>
            <w:vAlign w:val="center"/>
          </w:tcPr>
          <w:p>
            <w:pPr>
              <w:spacing w:line="400" w:lineRule="exact"/>
              <w:rPr>
                <w:rFonts w:ascii="仿宋" w:eastAsia="仿宋"/>
                <w:color w:val="auto"/>
              </w:rPr>
            </w:pPr>
          </w:p>
        </w:tc>
        <w:tc>
          <w:tcPr>
            <w:tcW w:w="1160" w:type="dxa"/>
            <w:tcBorders>
              <w:left w:val="single" w:color="auto" w:sz="4" w:space="0"/>
              <w:right w:val="single" w:color="auto" w:sz="4" w:space="0"/>
            </w:tcBorders>
            <w:vAlign w:val="center"/>
          </w:tcPr>
          <w:p>
            <w:pPr>
              <w:spacing w:line="400" w:lineRule="exact"/>
              <w:rPr>
                <w:rFonts w:ascii="仿宋" w:eastAsia="仿宋"/>
                <w:color w:val="auto"/>
              </w:rPr>
            </w:pPr>
          </w:p>
        </w:tc>
        <w:tc>
          <w:tcPr>
            <w:tcW w:w="1415" w:type="dxa"/>
            <w:tcBorders>
              <w:left w:val="single" w:color="auto" w:sz="4" w:space="0"/>
              <w:right w:val="single" w:color="auto" w:sz="4" w:space="0"/>
            </w:tcBorders>
            <w:vAlign w:val="center"/>
          </w:tcPr>
          <w:p>
            <w:pPr>
              <w:spacing w:line="400" w:lineRule="exact"/>
              <w:rPr>
                <w:rFonts w:ascii="仿宋" w:eastAsia="仿宋"/>
                <w:color w:val="auto"/>
              </w:rPr>
            </w:pPr>
          </w:p>
        </w:tc>
        <w:tc>
          <w:tcPr>
            <w:tcW w:w="1605" w:type="dxa"/>
            <w:gridSpan w:val="2"/>
            <w:tcBorders>
              <w:left w:val="single" w:color="auto" w:sz="4" w:space="0"/>
              <w:right w:val="single" w:color="auto" w:sz="4" w:space="0"/>
            </w:tcBorders>
            <w:vAlign w:val="center"/>
          </w:tcPr>
          <w:p>
            <w:pPr>
              <w:spacing w:line="400" w:lineRule="exact"/>
              <w:rPr>
                <w:rFonts w:ascii="仿宋" w:eastAsia="仿宋"/>
                <w:color w:val="auto"/>
              </w:rPr>
            </w:pPr>
          </w:p>
        </w:tc>
        <w:tc>
          <w:tcPr>
            <w:tcW w:w="1392" w:type="dxa"/>
            <w:gridSpan w:val="2"/>
            <w:tcBorders>
              <w:left w:val="single" w:color="auto" w:sz="4" w:space="0"/>
            </w:tcBorders>
            <w:vAlign w:val="center"/>
          </w:tcPr>
          <w:p>
            <w:pPr>
              <w:spacing w:line="400" w:lineRule="exact"/>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color w:val="auto"/>
              </w:rPr>
            </w:pPr>
          </w:p>
        </w:tc>
        <w:tc>
          <w:tcPr>
            <w:tcW w:w="1439" w:type="dxa"/>
            <w:vAlign w:val="center"/>
          </w:tcPr>
          <w:p>
            <w:pPr>
              <w:spacing w:line="400" w:lineRule="exact"/>
              <w:rPr>
                <w:rFonts w:ascii="仿宋" w:eastAsia="仿宋"/>
                <w:color w:val="auto"/>
              </w:rPr>
            </w:pPr>
          </w:p>
        </w:tc>
        <w:tc>
          <w:tcPr>
            <w:tcW w:w="1319" w:type="dxa"/>
            <w:vAlign w:val="center"/>
          </w:tcPr>
          <w:p>
            <w:pPr>
              <w:spacing w:line="400" w:lineRule="exact"/>
              <w:rPr>
                <w:rFonts w:ascii="仿宋" w:eastAsia="仿宋"/>
                <w:color w:val="auto"/>
              </w:rPr>
            </w:pPr>
          </w:p>
        </w:tc>
        <w:tc>
          <w:tcPr>
            <w:tcW w:w="1160" w:type="dxa"/>
            <w:vAlign w:val="center"/>
          </w:tcPr>
          <w:p>
            <w:pPr>
              <w:spacing w:line="400" w:lineRule="exact"/>
              <w:rPr>
                <w:rFonts w:ascii="仿宋" w:eastAsia="仿宋"/>
                <w:color w:val="auto"/>
              </w:rPr>
            </w:pPr>
          </w:p>
        </w:tc>
        <w:tc>
          <w:tcPr>
            <w:tcW w:w="1421" w:type="dxa"/>
            <w:gridSpan w:val="2"/>
            <w:tcBorders>
              <w:right w:val="single" w:color="auto" w:sz="4" w:space="0"/>
            </w:tcBorders>
            <w:vAlign w:val="center"/>
          </w:tcPr>
          <w:p>
            <w:pPr>
              <w:spacing w:line="400" w:lineRule="exact"/>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rPr>
                <w:rFonts w:ascii="仿宋" w:eastAsia="仿宋"/>
                <w:color w:val="auto"/>
              </w:rPr>
            </w:pPr>
          </w:p>
        </w:tc>
        <w:tc>
          <w:tcPr>
            <w:tcW w:w="1387" w:type="dxa"/>
            <w:gridSpan w:val="2"/>
            <w:tcBorders>
              <w:left w:val="single" w:color="auto" w:sz="4" w:space="0"/>
            </w:tcBorders>
            <w:vAlign w:val="center"/>
          </w:tcPr>
          <w:p>
            <w:pPr>
              <w:spacing w:line="400" w:lineRule="exact"/>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tcBorders>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tcBorders>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color w:val="auto"/>
              </w:rPr>
            </w:pPr>
          </w:p>
        </w:tc>
        <w:tc>
          <w:tcPr>
            <w:tcW w:w="1439" w:type="dxa"/>
            <w:tcBorders>
              <w:bottom w:val="single" w:color="auto" w:sz="4" w:space="0"/>
            </w:tcBorders>
            <w:vAlign w:val="center"/>
          </w:tcPr>
          <w:p>
            <w:pPr>
              <w:spacing w:line="400" w:lineRule="exact"/>
              <w:jc w:val="center"/>
              <w:rPr>
                <w:rFonts w:ascii="仿宋" w:eastAsia="仿宋"/>
                <w:color w:val="auto"/>
              </w:rPr>
            </w:pPr>
          </w:p>
        </w:tc>
        <w:tc>
          <w:tcPr>
            <w:tcW w:w="1319" w:type="dxa"/>
            <w:tcBorders>
              <w:bottom w:val="single" w:color="auto" w:sz="4" w:space="0"/>
            </w:tcBorders>
            <w:vAlign w:val="center"/>
          </w:tcPr>
          <w:p>
            <w:pPr>
              <w:spacing w:line="400" w:lineRule="exact"/>
              <w:jc w:val="center"/>
              <w:rPr>
                <w:rFonts w:ascii="仿宋" w:eastAsia="仿宋"/>
                <w:color w:val="auto"/>
              </w:rPr>
            </w:pPr>
          </w:p>
        </w:tc>
        <w:tc>
          <w:tcPr>
            <w:tcW w:w="1160" w:type="dxa"/>
            <w:tcBorders>
              <w:bottom w:val="single" w:color="auto" w:sz="4" w:space="0"/>
            </w:tcBorders>
            <w:vAlign w:val="center"/>
          </w:tcPr>
          <w:p>
            <w:pPr>
              <w:spacing w:line="400" w:lineRule="exact"/>
              <w:jc w:val="center"/>
              <w:rPr>
                <w:rFonts w:ascii="仿宋" w:eastAsia="仿宋"/>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color w:val="auto"/>
              </w:rPr>
            </w:pPr>
          </w:p>
        </w:tc>
      </w:tr>
    </w:tbl>
    <w:p>
      <w:pPr>
        <w:widowControl/>
        <w:spacing w:line="360" w:lineRule="atLeast"/>
        <w:ind w:firstLine="470" w:firstLineChars="196"/>
        <w:jc w:val="left"/>
        <w:outlineLvl w:val="1"/>
        <w:rPr>
          <w:rFonts w:ascii="仿宋" w:eastAsia="仿宋"/>
          <w:color w:val="auto"/>
          <w:sz w:val="24"/>
        </w:rPr>
      </w:pPr>
    </w:p>
    <w:p>
      <w:pPr>
        <w:widowControl/>
        <w:spacing w:line="360" w:lineRule="atLeast"/>
        <w:ind w:firstLine="470" w:firstLineChars="196"/>
        <w:jc w:val="left"/>
        <w:outlineLvl w:val="1"/>
        <w:rPr>
          <w:rFonts w:ascii="仿宋" w:eastAsia="仿宋"/>
          <w:color w:val="auto"/>
          <w:sz w:val="24"/>
        </w:rPr>
      </w:pPr>
      <w:r>
        <w:rPr>
          <w:rFonts w:hint="eastAsia" w:ascii="仿宋" w:eastAsia="仿宋"/>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auto"/>
          <w:sz w:val="24"/>
        </w:rPr>
      </w:pPr>
    </w:p>
    <w:p>
      <w:pPr>
        <w:spacing w:line="400" w:lineRule="exact"/>
        <w:ind w:left="360"/>
        <w:jc w:val="center"/>
        <w:rPr>
          <w:rFonts w:ascii="仿宋" w:eastAsia="仿宋"/>
          <w:color w:val="auto"/>
          <w:sz w:val="24"/>
        </w:rPr>
      </w:pPr>
    </w:p>
    <w:p>
      <w:pPr>
        <w:jc w:val="left"/>
        <w:rPr>
          <w:rFonts w:ascii="仿宋" w:eastAsia="仿宋"/>
          <w:color w:val="auto"/>
        </w:rPr>
      </w:pPr>
    </w:p>
    <w:p>
      <w:pPr>
        <w:ind w:firstLine="480" w:firstLineChars="200"/>
        <w:jc w:val="left"/>
        <w:rPr>
          <w:rFonts w:ascii="仿宋" w:eastAsia="仿宋"/>
          <w:color w:val="auto"/>
          <w:sz w:val="24"/>
        </w:rPr>
      </w:pPr>
      <w:r>
        <w:rPr>
          <w:rFonts w:hint="eastAsia" w:ascii="仿宋" w:eastAsia="仿宋"/>
          <w:color w:val="auto"/>
          <w:sz w:val="24"/>
        </w:rPr>
        <w:t>供应商名称：XXXX（盖单位公章）</w:t>
      </w:r>
    </w:p>
    <w:p>
      <w:pPr>
        <w:ind w:firstLine="480" w:firstLineChars="200"/>
        <w:jc w:val="left"/>
        <w:rPr>
          <w:rFonts w:ascii="仿宋" w:eastAsia="仿宋"/>
          <w:color w:val="auto"/>
          <w:sz w:val="24"/>
        </w:rPr>
      </w:pPr>
      <w:r>
        <w:rPr>
          <w:rFonts w:hint="eastAsia" w:ascii="仿宋" w:eastAsia="仿宋"/>
          <w:color w:val="auto"/>
          <w:sz w:val="24"/>
        </w:rPr>
        <w:t>法定代表人/单位负责人或授权代表（签字或加盖个人印章）：XXXX</w:t>
      </w:r>
    </w:p>
    <w:p>
      <w:pPr>
        <w:ind w:firstLine="480" w:firstLineChars="200"/>
        <w:jc w:val="left"/>
        <w:rPr>
          <w:rFonts w:ascii="仿宋" w:eastAsia="仿宋"/>
          <w:color w:val="auto"/>
          <w:sz w:val="24"/>
        </w:rPr>
      </w:pPr>
      <w:r>
        <w:rPr>
          <w:rFonts w:hint="eastAsia" w:ascii="仿宋" w:eastAsia="仿宋"/>
          <w:color w:val="auto"/>
          <w:sz w:val="24"/>
        </w:rPr>
        <w:t>日期</w:t>
      </w:r>
      <w:r>
        <w:rPr>
          <w:rFonts w:hint="eastAsia" w:ascii="仿宋" w:eastAsia="仿宋"/>
          <w:color w:val="auto"/>
          <w:sz w:val="24"/>
          <w:lang w:eastAsia="zh-CN"/>
        </w:rPr>
        <w:t>：</w:t>
      </w:r>
      <w:r>
        <w:rPr>
          <w:rFonts w:hint="eastAsia" w:ascii="仿宋" w:eastAsia="仿宋"/>
          <w:color w:val="auto"/>
          <w:sz w:val="24"/>
        </w:rPr>
        <w:t xml:space="preserve"> XXXX</w:t>
      </w:r>
    </w:p>
    <w:p>
      <w:pPr>
        <w:widowControl/>
        <w:jc w:val="left"/>
        <w:rPr>
          <w:rFonts w:ascii="仿宋" w:eastAsia="仿宋"/>
          <w:color w:val="auto"/>
          <w:sz w:val="24"/>
        </w:rPr>
      </w:pPr>
    </w:p>
    <w:p>
      <w:pPr>
        <w:widowControl/>
        <w:spacing w:line="360" w:lineRule="atLeast"/>
        <w:jc w:val="left"/>
        <w:outlineLvl w:val="1"/>
        <w:rPr>
          <w:rFonts w:ascii="仿宋" w:eastAsia="仿宋"/>
          <w:b/>
          <w:color w:val="auto"/>
          <w:sz w:val="32"/>
          <w:szCs w:val="32"/>
        </w:rPr>
      </w:pPr>
    </w:p>
    <w:p>
      <w:pPr>
        <w:widowControl/>
        <w:spacing w:line="360" w:lineRule="atLeast"/>
        <w:jc w:val="left"/>
        <w:outlineLvl w:val="1"/>
        <w:rPr>
          <w:rFonts w:ascii="仿宋" w:eastAsia="仿宋"/>
          <w:color w:val="auto"/>
          <w:sz w:val="24"/>
        </w:rPr>
      </w:pPr>
      <w:r>
        <w:rPr>
          <w:rFonts w:hint="eastAsia" w:ascii="仿宋" w:eastAsia="仿宋"/>
          <w:b/>
          <w:color w:val="auto"/>
          <w:sz w:val="32"/>
          <w:szCs w:val="32"/>
        </w:rPr>
        <w:t>格式2-9</w:t>
      </w:r>
    </w:p>
    <w:p>
      <w:pPr>
        <w:jc w:val="center"/>
        <w:rPr>
          <w:rFonts w:ascii="仿宋" w:eastAsia="仿宋"/>
          <w:b/>
          <w:color w:val="auto"/>
          <w:sz w:val="32"/>
          <w:szCs w:val="32"/>
        </w:rPr>
      </w:pPr>
      <w:r>
        <w:rPr>
          <w:rFonts w:hint="eastAsia" w:ascii="仿宋" w:eastAsia="仿宋"/>
          <w:b/>
          <w:color w:val="auto"/>
          <w:sz w:val="32"/>
          <w:szCs w:val="32"/>
        </w:rPr>
        <w:t xml:space="preserve"> 供应商本项目管理、技术、服务人员情况表</w:t>
      </w:r>
    </w:p>
    <w:p>
      <w:pPr>
        <w:rPr>
          <w:rFonts w:ascii="仿宋" w:eastAsia="仿宋"/>
          <w:color w:val="auto"/>
          <w:sz w:val="32"/>
          <w:szCs w:val="32"/>
        </w:rPr>
      </w:pPr>
    </w:p>
    <w:p>
      <w:pPr>
        <w:rPr>
          <w:rFonts w:ascii="仿宋" w:eastAsia="仿宋"/>
          <w:color w:val="auto"/>
          <w:sz w:val="24"/>
        </w:rPr>
      </w:pPr>
      <w:r>
        <w:rPr>
          <w:rFonts w:hint="eastAsia" w:ascii="仿宋" w:eastAsia="仿宋"/>
          <w:color w:val="auto"/>
          <w:sz w:val="24"/>
        </w:rPr>
        <w:t>采购编号：</w:t>
      </w:r>
    </w:p>
    <w:tbl>
      <w:tblPr>
        <w:tblStyle w:val="22"/>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类别</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职务</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姓名</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职称</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常住地</w:t>
            </w:r>
          </w:p>
        </w:tc>
        <w:tc>
          <w:tcPr>
            <w:tcW w:w="3788" w:type="dxa"/>
            <w:gridSpan w:val="4"/>
            <w:vAlign w:val="center"/>
          </w:tcPr>
          <w:p>
            <w:pPr>
              <w:jc w:val="center"/>
              <w:rPr>
                <w:rFonts w:ascii="仿宋" w:eastAsia="仿宋"/>
                <w:color w:val="auto"/>
                <w:sz w:val="24"/>
              </w:rPr>
            </w:pPr>
            <w:r>
              <w:rPr>
                <w:rFonts w:hint="eastAsia" w:ascii="仿宋" w:eastAsia="仿宋"/>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Align w:val="center"/>
          </w:tcPr>
          <w:p>
            <w:pPr>
              <w:jc w:val="center"/>
              <w:rPr>
                <w:rFonts w:ascii="仿宋" w:eastAsia="仿宋"/>
                <w:color w:val="auto"/>
                <w:sz w:val="24"/>
              </w:rPr>
            </w:pPr>
            <w:r>
              <w:rPr>
                <w:rFonts w:hint="eastAsia" w:ascii="仿宋" w:eastAsia="仿宋"/>
                <w:color w:val="auto"/>
                <w:sz w:val="24"/>
              </w:rPr>
              <w:t>证书</w:t>
            </w:r>
          </w:p>
          <w:p>
            <w:pPr>
              <w:jc w:val="center"/>
              <w:rPr>
                <w:rFonts w:ascii="仿宋" w:eastAsia="仿宋"/>
                <w:color w:val="auto"/>
                <w:sz w:val="24"/>
              </w:rPr>
            </w:pPr>
            <w:r>
              <w:rPr>
                <w:rFonts w:hint="eastAsia" w:ascii="仿宋" w:eastAsia="仿宋"/>
                <w:color w:val="auto"/>
                <w:sz w:val="24"/>
              </w:rPr>
              <w:t>名称</w:t>
            </w:r>
          </w:p>
        </w:tc>
        <w:tc>
          <w:tcPr>
            <w:tcW w:w="947" w:type="dxa"/>
            <w:vAlign w:val="center"/>
          </w:tcPr>
          <w:p>
            <w:pPr>
              <w:jc w:val="center"/>
              <w:rPr>
                <w:rFonts w:ascii="仿宋" w:eastAsia="仿宋"/>
                <w:color w:val="auto"/>
                <w:sz w:val="24"/>
              </w:rPr>
            </w:pPr>
            <w:r>
              <w:rPr>
                <w:rFonts w:hint="eastAsia" w:ascii="仿宋" w:eastAsia="仿宋"/>
                <w:color w:val="auto"/>
                <w:sz w:val="24"/>
              </w:rPr>
              <w:t>级别</w:t>
            </w:r>
          </w:p>
        </w:tc>
        <w:tc>
          <w:tcPr>
            <w:tcW w:w="947" w:type="dxa"/>
            <w:vAlign w:val="center"/>
          </w:tcPr>
          <w:p>
            <w:pPr>
              <w:jc w:val="center"/>
              <w:rPr>
                <w:rFonts w:ascii="仿宋" w:eastAsia="仿宋"/>
                <w:color w:val="auto"/>
                <w:sz w:val="24"/>
              </w:rPr>
            </w:pPr>
            <w:r>
              <w:rPr>
                <w:rFonts w:hint="eastAsia" w:ascii="仿宋" w:eastAsia="仿宋"/>
                <w:color w:val="auto"/>
                <w:sz w:val="24"/>
              </w:rPr>
              <w:t>证号</w:t>
            </w:r>
          </w:p>
        </w:tc>
        <w:tc>
          <w:tcPr>
            <w:tcW w:w="947" w:type="dxa"/>
            <w:vAlign w:val="center"/>
          </w:tcPr>
          <w:p>
            <w:pPr>
              <w:jc w:val="center"/>
              <w:rPr>
                <w:rFonts w:ascii="仿宋" w:eastAsia="仿宋"/>
                <w:color w:val="auto"/>
                <w:sz w:val="24"/>
              </w:rPr>
            </w:pPr>
            <w:r>
              <w:rPr>
                <w:rFonts w:hint="eastAsia" w:ascii="仿宋" w:eastAsia="仿宋"/>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管理</w:t>
            </w:r>
          </w:p>
          <w:p>
            <w:pPr>
              <w:jc w:val="center"/>
              <w:rPr>
                <w:rFonts w:ascii="仿宋" w:eastAsia="仿宋"/>
                <w:color w:val="auto"/>
                <w:sz w:val="24"/>
              </w:rPr>
            </w:pPr>
            <w:r>
              <w:rPr>
                <w:rFonts w:hint="eastAsia" w:ascii="仿宋" w:eastAsia="仿宋"/>
                <w:color w:val="auto"/>
                <w:sz w:val="24"/>
              </w:rPr>
              <w:t>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技术</w:t>
            </w:r>
          </w:p>
          <w:p>
            <w:pPr>
              <w:jc w:val="center"/>
              <w:rPr>
                <w:rFonts w:ascii="仿宋" w:eastAsia="仿宋"/>
                <w:color w:val="auto"/>
                <w:sz w:val="24"/>
              </w:rPr>
            </w:pPr>
            <w:r>
              <w:rPr>
                <w:rFonts w:hint="eastAsia" w:ascii="仿宋" w:eastAsia="仿宋"/>
                <w:color w:val="auto"/>
                <w:sz w:val="24"/>
              </w:rPr>
              <w:t>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售后服务人员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bl>
    <w:p>
      <w:pPr>
        <w:rPr>
          <w:rFonts w:ascii="仿宋" w:eastAsia="仿宋"/>
          <w:color w:val="auto"/>
          <w:sz w:val="24"/>
        </w:rPr>
      </w:pPr>
    </w:p>
    <w:p>
      <w:pPr>
        <w:rPr>
          <w:rFonts w:ascii="仿宋" w:eastAsia="仿宋"/>
          <w:color w:val="auto"/>
          <w:sz w:val="24"/>
        </w:rPr>
      </w:pPr>
    </w:p>
    <w:p>
      <w:pPr>
        <w:rPr>
          <w:rFonts w:ascii="仿宋" w:eastAsia="仿宋"/>
          <w:color w:val="auto"/>
          <w:sz w:val="24"/>
        </w:rPr>
      </w:pPr>
    </w:p>
    <w:p>
      <w:pPr>
        <w:rPr>
          <w:rFonts w:ascii="仿宋" w:eastAsia="仿宋"/>
          <w:color w:val="auto"/>
          <w:sz w:val="24"/>
        </w:rPr>
      </w:pPr>
      <w:r>
        <w:rPr>
          <w:rFonts w:hint="eastAsia" w:ascii="仿宋" w:eastAsia="仿宋"/>
          <w:color w:val="auto"/>
          <w:sz w:val="24"/>
        </w:rPr>
        <w:t>供应商名称：XXX（盖单位公章）</w:t>
      </w:r>
    </w:p>
    <w:p>
      <w:pPr>
        <w:rPr>
          <w:rFonts w:ascii="仿宋" w:eastAsia="仿宋"/>
          <w:color w:val="auto"/>
          <w:sz w:val="24"/>
        </w:rPr>
      </w:pPr>
      <w:r>
        <w:rPr>
          <w:rFonts w:hint="eastAsia" w:ascii="仿宋" w:eastAsia="仿宋"/>
          <w:color w:val="auto"/>
          <w:sz w:val="24"/>
        </w:rPr>
        <w:t>法定代表人/单位负责人或授权代表（签字或加盖个人印章）：XXX</w:t>
      </w:r>
    </w:p>
    <w:p>
      <w:pPr>
        <w:rPr>
          <w:rFonts w:ascii="仿宋" w:eastAsia="仿宋"/>
          <w:color w:val="auto"/>
          <w:sz w:val="24"/>
        </w:rPr>
      </w:pPr>
      <w:r>
        <w:rPr>
          <w:rFonts w:hint="eastAsia" w:ascii="仿宋" w:eastAsia="仿宋"/>
          <w:color w:val="auto"/>
          <w:sz w:val="24"/>
        </w:rPr>
        <w:t>日期：XXX</w:t>
      </w:r>
    </w:p>
    <w:p>
      <w:pPr>
        <w:widowControl/>
        <w:jc w:val="left"/>
        <w:rPr>
          <w:rFonts w:ascii="仿宋" w:eastAsia="仿宋"/>
          <w:color w:val="auto"/>
          <w:sz w:val="24"/>
        </w:rPr>
      </w:pPr>
      <w:r>
        <w:rPr>
          <w:rFonts w:ascii="仿宋" w:eastAsia="仿宋"/>
          <w:bCs/>
          <w:color w:val="auto"/>
        </w:rPr>
        <w:br w:type="page"/>
      </w:r>
    </w:p>
    <w:p>
      <w:pPr>
        <w:spacing w:before="240" w:after="60"/>
        <w:jc w:val="center"/>
        <w:outlineLvl w:val="0"/>
        <w:rPr>
          <w:rFonts w:ascii="Times New Roman" w:hAnsi="Times New Roman" w:eastAsia="仿宋" w:cs="Times New Roman"/>
          <w:b/>
          <w:color w:val="auto"/>
          <w:sz w:val="36"/>
          <w:szCs w:val="36"/>
        </w:rPr>
      </w:pPr>
      <w:bookmarkStart w:id="78" w:name="_Toc112053983"/>
      <w:r>
        <w:rPr>
          <w:rFonts w:ascii="Times New Roman" w:hAnsi="Times New Roman" w:eastAsia="仿宋" w:cs="Times New Roman"/>
          <w:b/>
          <w:color w:val="auto"/>
          <w:sz w:val="36"/>
          <w:szCs w:val="36"/>
        </w:rPr>
        <w:t>第八章  评审方法</w:t>
      </w:r>
      <w:bookmarkEnd w:id="78"/>
    </w:p>
    <w:p>
      <w:pPr>
        <w:spacing w:line="401" w:lineRule="auto"/>
        <w:ind w:firstLine="472"/>
        <w:rPr>
          <w:rFonts w:ascii="Times New Roman" w:hAnsi="Times New Roman" w:eastAsia="仿宋" w:cs="Times New Roman"/>
          <w:b/>
          <w:color w:val="auto"/>
          <w:sz w:val="24"/>
        </w:rPr>
      </w:pP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hint="eastAsia" w:ascii="仿宋" w:eastAsia="仿宋"/>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hint="eastAsia" w:ascii="仿宋" w:eastAsia="仿宋"/>
          <w:color w:val="auto"/>
          <w:sz w:val="24"/>
          <w:szCs w:val="24"/>
        </w:rPr>
        <w:t>由采购组织部门与采购需求部门</w:t>
      </w:r>
      <w:r>
        <w:rPr>
          <w:rFonts w:ascii="Times New Roman" w:hAnsi="Times New Roman" w:eastAsia="仿宋" w:cs="Times New Roman"/>
          <w:color w:val="auto"/>
          <w:sz w:val="24"/>
        </w:rPr>
        <w:t>组建的磋商小组负责。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（七）法律、法规和规章规定的其他职责。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1.5磋商过程独立、保密。供应商非法干预磋商过程的，其响应文件作无效处理。</w:t>
      </w:r>
    </w:p>
    <w:p>
      <w:pPr>
        <w:ind w:firstLine="413"/>
        <w:rPr>
          <w:rFonts w:ascii="Times New Roman" w:hAnsi="Times New Roman" w:eastAsia="仿宋" w:cs="Times New Roman"/>
          <w:color w:val="auto"/>
        </w:rPr>
      </w:pP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pPr>
        <w:ind w:firstLine="630"/>
        <w:rPr>
          <w:rFonts w:ascii="Times New Roman" w:hAnsi="Times New Roman" w:eastAsia="仿宋" w:cs="Times New Roman"/>
          <w:color w:val="auto"/>
          <w:sz w:val="24"/>
        </w:rPr>
      </w:pPr>
      <w:r>
        <w:rPr>
          <w:rFonts w:ascii="Times New Roman" w:hAnsi="Times New Roman" w:eastAsia="仿宋" w:cs="Times New Roman"/>
          <w:color w:val="auto"/>
          <w:sz w:val="24"/>
        </w:rPr>
        <w:t>2.3.1</w:t>
      </w:r>
      <w:r>
        <w:rPr>
          <w:rFonts w:hint="eastAsia" w:ascii="仿宋" w:eastAsia="仿宋"/>
          <w:color w:val="auto"/>
          <w:sz w:val="24"/>
        </w:rPr>
        <w:t>市场竞争不充分等货物和服务项目</w:t>
      </w:r>
      <w:r>
        <w:rPr>
          <w:rFonts w:ascii="仿宋" w:eastAsia="仿宋"/>
          <w:color w:val="auto"/>
          <w:sz w:val="24"/>
        </w:rPr>
        <w:t>，</w:t>
      </w:r>
      <w:r>
        <w:rPr>
          <w:rFonts w:hint="eastAsia" w:ascii="仿宋" w:eastAsia="仿宋"/>
          <w:color w:val="auto"/>
          <w:sz w:val="24"/>
        </w:rPr>
        <w:t>根据《九寨沟管理局货物和服务非政府采购管理办法》第十七条7项评审。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pPr>
        <w:spacing w:line="300"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属于竞争性磋商文件中无效响应情形的。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（2）响应文件除采购文件明确要求加盖单位</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公章的以外，其他地方以相关专用章加盖的；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4</w:t>
      </w:r>
      <w:r>
        <w:rPr>
          <w:rFonts w:ascii="Times New Roman" w:hAnsi="Times New Roman" w:eastAsia="仿宋" w:cs="Times New Roman"/>
          <w:color w:val="auto"/>
          <w:sz w:val="24"/>
        </w:rPr>
        <w:t>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报价如果出现下列不一致的，可按以下原则进行修改：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pPr>
        <w:ind w:firstLine="480"/>
        <w:rPr>
          <w:color w:val="auto"/>
        </w:rPr>
      </w:pPr>
      <w:r>
        <w:rPr>
          <w:rFonts w:ascii="Times New Roman" w:hAnsi="Times New Roman" w:eastAsia="仿宋" w:cs="Times New Roman"/>
          <w:color w:val="auto"/>
          <w:sz w:val="24"/>
        </w:rPr>
        <w:t>3.3.3综合评分明细表</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序号</w:t>
            </w:r>
          </w:p>
        </w:tc>
        <w:tc>
          <w:tcPr>
            <w:tcW w:w="1119"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评分因素</w:t>
            </w:r>
          </w:p>
          <w:p>
            <w:pPr>
              <w:spacing w:line="400" w:lineRule="exact"/>
              <w:ind w:firstLine="28"/>
              <w:jc w:val="center"/>
              <w:rPr>
                <w:rFonts w:ascii="仿宋" w:hAnsi="仿宋" w:eastAsia="仿宋"/>
                <w:color w:val="auto"/>
                <w:szCs w:val="21"/>
              </w:rPr>
            </w:pPr>
            <w:r>
              <w:rPr>
                <w:rFonts w:hint="eastAsia" w:ascii="仿宋" w:hAnsi="仿宋" w:eastAsia="仿宋"/>
                <w:color w:val="auto"/>
                <w:szCs w:val="21"/>
              </w:rPr>
              <w:t>及权重</w:t>
            </w:r>
          </w:p>
        </w:tc>
        <w:tc>
          <w:tcPr>
            <w:tcW w:w="80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分值</w:t>
            </w:r>
          </w:p>
        </w:tc>
        <w:tc>
          <w:tcPr>
            <w:tcW w:w="5476"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评分标准</w:t>
            </w:r>
          </w:p>
        </w:tc>
        <w:tc>
          <w:tcPr>
            <w:tcW w:w="1499" w:type="dxa"/>
            <w:vAlign w:val="center"/>
          </w:tcPr>
          <w:p>
            <w:pPr>
              <w:spacing w:line="400" w:lineRule="exact"/>
              <w:jc w:val="center"/>
              <w:rPr>
                <w:rFonts w:ascii="仿宋" w:hAnsi="仿宋" w:eastAsia="仿宋"/>
                <w:color w:val="auto"/>
                <w:szCs w:val="21"/>
              </w:rPr>
            </w:pPr>
            <w:r>
              <w:rPr>
                <w:rFonts w:hint="eastAsia" w:ascii="仿宋" w:hAnsi="仿宋" w:eastAsia="仿宋"/>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7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19" w:type="dxa"/>
            <w:vAlign w:val="center"/>
          </w:tcPr>
          <w:p>
            <w:pPr>
              <w:jc w:val="left"/>
              <w:rPr>
                <w:rFonts w:ascii="仿宋" w:hAnsi="仿宋" w:eastAsia="仿宋"/>
                <w:color w:val="auto"/>
                <w:szCs w:val="21"/>
              </w:rPr>
            </w:pPr>
            <w:r>
              <w:rPr>
                <w:rFonts w:hint="eastAsia" w:ascii="仿宋" w:hAnsi="仿宋" w:eastAsia="仿宋"/>
                <w:color w:val="auto"/>
                <w:szCs w:val="21"/>
              </w:rPr>
              <w:t>报价</w:t>
            </w:r>
            <w:r>
              <w:rPr>
                <w:rFonts w:hint="eastAsia" w:ascii="仿宋" w:hAnsi="仿宋" w:eastAsia="仿宋"/>
                <w:color w:val="auto"/>
                <w:szCs w:val="21"/>
                <w:lang w:val="en-US" w:eastAsia="zh-CN"/>
              </w:rPr>
              <w:t>4</w:t>
            </w:r>
            <w:r>
              <w:rPr>
                <w:rFonts w:hint="eastAsia" w:ascii="仿宋" w:hAnsi="仿宋" w:eastAsia="仿宋"/>
                <w:color w:val="auto"/>
                <w:szCs w:val="21"/>
              </w:rPr>
              <w:t>0%</w:t>
            </w:r>
          </w:p>
          <w:p>
            <w:pPr>
              <w:rPr>
                <w:rFonts w:ascii="仿宋" w:hAnsi="仿宋" w:eastAsia="仿宋"/>
                <w:color w:val="auto"/>
                <w:szCs w:val="21"/>
              </w:rPr>
            </w:pPr>
            <w:r>
              <w:rPr>
                <w:rFonts w:hint="eastAsia" w:ascii="仿宋" w:hAnsi="仿宋" w:eastAsia="仿宋"/>
                <w:color w:val="auto"/>
                <w:szCs w:val="21"/>
              </w:rPr>
              <w:t>（主要评分因素）</w:t>
            </w:r>
          </w:p>
        </w:tc>
        <w:tc>
          <w:tcPr>
            <w:tcW w:w="807"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4</w:t>
            </w:r>
            <w:r>
              <w:rPr>
                <w:rFonts w:hint="eastAsia" w:ascii="仿宋" w:hAnsi="仿宋" w:eastAsia="仿宋"/>
                <w:color w:val="auto"/>
                <w:szCs w:val="21"/>
              </w:rPr>
              <w:t>0分</w:t>
            </w:r>
          </w:p>
        </w:tc>
        <w:tc>
          <w:tcPr>
            <w:tcW w:w="5476" w:type="dxa"/>
            <w:vAlign w:val="center"/>
          </w:tcPr>
          <w:p>
            <w:p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auto"/>
                <w:szCs w:val="21"/>
                <w:lang w:val="en-US" w:eastAsia="zh-CN"/>
              </w:rPr>
              <w:t>4</w:t>
            </w:r>
            <w:r>
              <w:rPr>
                <w:rFonts w:hint="eastAsia" w:ascii="仿宋" w:hAnsi="仿宋" w:eastAsia="仿宋"/>
                <w:color w:val="auto"/>
                <w:szCs w:val="21"/>
              </w:rPr>
              <w:t>0%*100</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rPr>
              <w:t>共同</w:t>
            </w:r>
            <w:r>
              <w:rPr>
                <w:rFonts w:ascii="仿宋" w:hAnsi="仿宋" w:eastAsia="仿宋"/>
                <w:color w:val="auto"/>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577" w:type="dxa"/>
            <w:vAlign w:val="center"/>
          </w:tcPr>
          <w:p>
            <w:pPr>
              <w:spacing w:line="400" w:lineRule="exact"/>
              <w:ind w:firstLine="28"/>
              <w:jc w:val="center"/>
              <w:rPr>
                <w:rFonts w:ascii="仿宋" w:hAnsi="仿宋" w:eastAsia="仿宋"/>
                <w:color w:val="auto"/>
                <w:szCs w:val="21"/>
              </w:rPr>
            </w:pPr>
            <w:r>
              <w:rPr>
                <w:rFonts w:ascii="仿宋" w:hAnsi="仿宋" w:eastAsia="仿宋"/>
                <w:color w:val="auto"/>
                <w:szCs w:val="21"/>
              </w:rPr>
              <w:t>2</w:t>
            </w:r>
          </w:p>
        </w:tc>
        <w:tc>
          <w:tcPr>
            <w:tcW w:w="1119" w:type="dxa"/>
            <w:vAlign w:val="center"/>
          </w:tcPr>
          <w:p>
            <w:pPr>
              <w:jc w:val="center"/>
              <w:rPr>
                <w:rFonts w:hint="eastAsia" w:ascii="仿宋" w:hAnsi="仿宋" w:eastAsia="仿宋"/>
                <w:color w:val="auto"/>
                <w:szCs w:val="21"/>
              </w:rPr>
            </w:pPr>
            <w:r>
              <w:rPr>
                <w:rFonts w:hint="eastAsia" w:ascii="仿宋" w:hAnsi="仿宋" w:eastAsia="仿宋"/>
                <w:color w:val="auto"/>
                <w:szCs w:val="21"/>
                <w:lang w:val="en-US" w:eastAsia="zh-CN"/>
              </w:rPr>
              <w:t>维护保养</w:t>
            </w:r>
            <w:r>
              <w:rPr>
                <w:rFonts w:hint="eastAsia" w:ascii="仿宋" w:hAnsi="仿宋" w:eastAsia="仿宋"/>
                <w:color w:val="auto"/>
                <w:szCs w:val="21"/>
              </w:rPr>
              <w:t>服务方案</w:t>
            </w:r>
            <w:r>
              <w:rPr>
                <w:rFonts w:hint="eastAsia" w:ascii="仿宋" w:hAnsi="仿宋" w:eastAsia="仿宋"/>
                <w:color w:val="auto"/>
                <w:szCs w:val="21"/>
                <w:lang w:val="en-US" w:eastAsia="zh-CN"/>
              </w:rPr>
              <w:t xml:space="preserve"> 42</w:t>
            </w:r>
            <w:r>
              <w:rPr>
                <w:rFonts w:hint="eastAsia" w:ascii="仿宋" w:hAnsi="仿宋" w:eastAsia="仿宋"/>
                <w:color w:val="auto"/>
                <w:szCs w:val="21"/>
              </w:rPr>
              <w:t>%</w:t>
            </w:r>
          </w:p>
          <w:p>
            <w:pPr>
              <w:jc w:val="center"/>
              <w:rPr>
                <w:rFonts w:ascii="仿宋" w:hAnsi="仿宋" w:eastAsia="仿宋"/>
                <w:color w:val="auto"/>
                <w:szCs w:val="21"/>
              </w:rPr>
            </w:pPr>
            <w:r>
              <w:rPr>
                <w:rFonts w:hint="eastAsia" w:ascii="仿宋" w:hAnsi="仿宋" w:eastAsia="仿宋"/>
                <w:color w:val="auto"/>
                <w:szCs w:val="21"/>
              </w:rPr>
              <w:t>（主要评分因素）</w:t>
            </w:r>
          </w:p>
        </w:tc>
        <w:tc>
          <w:tcPr>
            <w:tcW w:w="807"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42</w:t>
            </w:r>
            <w:r>
              <w:rPr>
                <w:rFonts w:hint="eastAsia" w:ascii="仿宋" w:hAnsi="仿宋" w:eastAsia="仿宋"/>
                <w:color w:val="auto"/>
                <w:szCs w:val="21"/>
              </w:rPr>
              <w:t>分</w:t>
            </w:r>
          </w:p>
        </w:tc>
        <w:tc>
          <w:tcPr>
            <w:tcW w:w="5476" w:type="dxa"/>
            <w:vAlign w:val="center"/>
          </w:tcPr>
          <w:p>
            <w:pPr>
              <w:numPr>
                <w:ilvl w:val="-1"/>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供应商根据用户实际情况以及服务内容技术要求制定并提供详细的技术服务方案，方案内容包括不限于：①机组保养方案②每月例行检查方案③烟尘处理器清洗④假负载测试方案、⑤油罐的安全性检查⑥紧急故障处理方案。</w:t>
            </w:r>
          </w:p>
          <w:p>
            <w:pPr>
              <w:numPr>
                <w:ilvl w:val="-1"/>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方案内容完整、描述详细、清晰、可行，完全符合项目要求的得42分。每缺一项扣7分。</w:t>
            </w:r>
            <w:r>
              <w:rPr>
                <w:rFonts w:hint="eastAsia" w:ascii="仿宋" w:hAnsi="仿宋" w:eastAsia="仿宋"/>
                <w:color w:val="auto"/>
                <w:szCs w:val="21"/>
              </w:rPr>
              <w:t>提供的方案中每有一处具有缺陷的扣</w:t>
            </w:r>
            <w:r>
              <w:rPr>
                <w:rFonts w:hint="eastAsia" w:ascii="仿宋" w:hAnsi="仿宋" w:eastAsia="仿宋"/>
                <w:color w:val="auto"/>
                <w:szCs w:val="21"/>
                <w:lang w:val="en-US" w:eastAsia="zh-CN"/>
              </w:rPr>
              <w:t>2</w:t>
            </w:r>
            <w:r>
              <w:rPr>
                <w:rFonts w:hint="eastAsia" w:ascii="仿宋" w:hAnsi="仿宋" w:eastAsia="仿宋"/>
                <w:color w:val="auto"/>
                <w:szCs w:val="21"/>
              </w:rPr>
              <w:t>分，扣完为止。（缺陷是指：存在不适用项目实际情况的情形、凭空编造、方案中内容前后不一致、前后逻辑错误、涉及的规范及标准错误、地点区域错误、内容缺失、不符合项目实际情况等）</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7" w:type="dxa"/>
            <w:vAlign w:val="center"/>
          </w:tcPr>
          <w:p>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19"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人员培训方案8%</w:t>
            </w:r>
          </w:p>
        </w:tc>
        <w:tc>
          <w:tcPr>
            <w:tcW w:w="807"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8分</w:t>
            </w:r>
          </w:p>
        </w:tc>
        <w:tc>
          <w:tcPr>
            <w:tcW w:w="5476" w:type="dxa"/>
            <w:vAlign w:val="center"/>
          </w:tcPr>
          <w:p>
            <w:pPr>
              <w:numPr>
                <w:ilvl w:val="0"/>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根据供应商提供的人员培训方案进行综合评分。内容包括不限于：①体系文件学习培训②理论基础培训③应急处理措施培训④现场实际操作培训。</w:t>
            </w:r>
          </w:p>
          <w:p>
            <w:pPr>
              <w:numPr>
                <w:ilvl w:val="0"/>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培训方案描述详细、清晰、可行，完全符合项目要求的得8分。每缺一项扣2分。</w:t>
            </w:r>
            <w:r>
              <w:rPr>
                <w:rFonts w:hint="eastAsia" w:ascii="仿宋" w:hAnsi="仿宋" w:eastAsia="仿宋"/>
                <w:color w:val="auto"/>
                <w:szCs w:val="21"/>
              </w:rPr>
              <w:t>提供的方案中每有一处具有缺陷的扣</w:t>
            </w:r>
            <w:r>
              <w:rPr>
                <w:rFonts w:hint="eastAsia" w:ascii="仿宋" w:hAnsi="仿宋" w:eastAsia="仿宋"/>
                <w:color w:val="auto"/>
                <w:szCs w:val="21"/>
                <w:lang w:val="en-US" w:eastAsia="zh-CN"/>
              </w:rPr>
              <w:t>1</w:t>
            </w:r>
            <w:r>
              <w:rPr>
                <w:rFonts w:hint="eastAsia" w:ascii="仿宋" w:hAnsi="仿宋" w:eastAsia="仿宋"/>
                <w:color w:val="auto"/>
                <w:szCs w:val="21"/>
              </w:rPr>
              <w:t>分，扣完为止。（缺陷是指：存在不适用项目实际情况的情形、凭空编造、方案中内容前后不一致、前后逻辑错误、涉及的规范及标准错误、地点区域错误、内容缺失、不符合项目实际情况等）</w:t>
            </w:r>
          </w:p>
        </w:tc>
        <w:tc>
          <w:tcPr>
            <w:tcW w:w="1499" w:type="dxa"/>
            <w:vAlign w:val="center"/>
          </w:tcPr>
          <w:p>
            <w:pPr>
              <w:jc w:val="center"/>
              <w:rPr>
                <w:rFonts w:hint="eastAsia" w:ascii="仿宋" w:hAnsi="仿宋" w:eastAsia="仿宋"/>
                <w:color w:val="auto"/>
                <w:szCs w:val="21"/>
              </w:rPr>
            </w:pPr>
            <w:r>
              <w:rPr>
                <w:rFonts w:hint="eastAsia" w:ascii="仿宋" w:hAnsi="仿宋" w:eastAsia="仿宋"/>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77" w:type="dxa"/>
            <w:vAlign w:val="center"/>
          </w:tcPr>
          <w:p>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1119" w:type="dxa"/>
            <w:vAlign w:val="center"/>
          </w:tcPr>
          <w:p>
            <w:pPr>
              <w:jc w:val="center"/>
              <w:rPr>
                <w:rFonts w:ascii="仿宋" w:hAnsi="仿宋" w:eastAsia="仿宋"/>
                <w:color w:val="auto"/>
                <w:szCs w:val="21"/>
              </w:rPr>
            </w:pPr>
            <w:r>
              <w:rPr>
                <w:rFonts w:hint="eastAsia" w:ascii="仿宋" w:hAnsi="仿宋" w:eastAsia="仿宋"/>
                <w:color w:val="auto"/>
                <w:szCs w:val="21"/>
              </w:rPr>
              <w:t>业绩</w:t>
            </w:r>
            <w:r>
              <w:rPr>
                <w:rFonts w:hint="eastAsia" w:ascii="仿宋" w:hAnsi="仿宋" w:eastAsia="仿宋"/>
                <w:color w:val="auto"/>
                <w:szCs w:val="21"/>
                <w:lang w:val="en-US" w:eastAsia="zh-CN"/>
              </w:rPr>
              <w:t>6</w:t>
            </w:r>
            <w:r>
              <w:rPr>
                <w:rFonts w:hint="eastAsia" w:ascii="仿宋" w:hAnsi="仿宋" w:eastAsia="仿宋"/>
                <w:color w:val="auto"/>
                <w:szCs w:val="21"/>
              </w:rPr>
              <w:t>%</w:t>
            </w:r>
          </w:p>
        </w:tc>
        <w:tc>
          <w:tcPr>
            <w:tcW w:w="807"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6</w:t>
            </w:r>
            <w:r>
              <w:rPr>
                <w:rFonts w:hint="eastAsia" w:ascii="仿宋" w:hAnsi="仿宋" w:eastAsia="仿宋"/>
                <w:color w:val="auto"/>
                <w:szCs w:val="21"/>
              </w:rPr>
              <w:t>分</w:t>
            </w:r>
          </w:p>
        </w:tc>
        <w:tc>
          <w:tcPr>
            <w:tcW w:w="5476" w:type="dxa"/>
            <w:vAlign w:val="center"/>
          </w:tcPr>
          <w:p>
            <w:pPr>
              <w:numPr>
                <w:ilvl w:val="0"/>
                <w:numId w:val="0"/>
              </w:numPr>
              <w:autoSpaceDN w:val="0"/>
              <w:ind w:firstLine="420" w:firstLineChars="200"/>
              <w:rPr>
                <w:rFonts w:hint="default"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供应商自2021年1月1日起至今承担过的柴发建设类或技术支持服务类项目，每提供1个项目得2分，本项最多得6分。未提供不得分。</w:t>
            </w:r>
          </w:p>
          <w:p>
            <w:pPr>
              <w:numPr>
                <w:ilvl w:val="0"/>
                <w:numId w:val="0"/>
              </w:numPr>
              <w:autoSpaceDN w:val="0"/>
              <w:ind w:firstLine="0" w:firstLineChars="0"/>
              <w:rPr>
                <w:rFonts w:ascii="仿宋" w:hAnsi="仿宋" w:eastAsia="仿宋"/>
                <w:color w:val="auto"/>
                <w:szCs w:val="21"/>
              </w:rPr>
            </w:pPr>
            <w:r>
              <w:rPr>
                <w:rFonts w:hint="eastAsia" w:ascii="仿宋" w:hAnsi="仿宋" w:eastAsia="仿宋" w:cs="Arial"/>
                <w:color w:val="auto"/>
                <w:sz w:val="21"/>
                <w:szCs w:val="21"/>
                <w:lang w:val="en-US" w:eastAsia="zh-CN" w:bidi="ar-SA"/>
              </w:rPr>
              <w:t>注：提供合同复件，合同内容应能体现甲乙双方盖章页、合同签订时间、标的物名称等主要内容，否则无效。</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77" w:type="dxa"/>
            <w:vAlign w:val="center"/>
          </w:tcPr>
          <w:p>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1119"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管理体系认证4%</w:t>
            </w:r>
          </w:p>
        </w:tc>
        <w:tc>
          <w:tcPr>
            <w:tcW w:w="807"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4分</w:t>
            </w:r>
          </w:p>
        </w:tc>
        <w:tc>
          <w:tcPr>
            <w:tcW w:w="5476" w:type="dxa"/>
            <w:vAlign w:val="center"/>
          </w:tcPr>
          <w:p>
            <w:pPr>
              <w:numPr>
                <w:ilvl w:val="0"/>
                <w:numId w:val="0"/>
              </w:numPr>
              <w:autoSpaceDN w:val="0"/>
              <w:ind w:firstLine="420" w:firstLineChars="200"/>
              <w:rPr>
                <w:rFonts w:hint="eastAsia"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提供有效期内的质量管理体系证书、环境管理体系证书、职业健康安全管理体系证书、3A证书，每提供一个得1分，本项最多得4分。</w:t>
            </w:r>
          </w:p>
        </w:tc>
        <w:tc>
          <w:tcPr>
            <w:tcW w:w="1499"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共同评分因素</w:t>
            </w:r>
          </w:p>
        </w:tc>
      </w:tr>
    </w:tbl>
    <w:p>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pPr>
        <w:spacing w:line="500" w:lineRule="exact"/>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hint="eastAsia"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pPr>
        <w:tabs>
          <w:tab w:val="left" w:pos="851"/>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w:t>
      </w:r>
      <w:r>
        <w:rPr>
          <w:rFonts w:hint="eastAsia" w:ascii="Times New Roman" w:hAnsi="Times New Roman" w:eastAsia="仿宋" w:cs="Times New Roman"/>
          <w:color w:val="auto"/>
          <w:sz w:val="24"/>
        </w:rPr>
        <w:t>磋商</w:t>
      </w:r>
      <w:r>
        <w:rPr>
          <w:rFonts w:ascii="Times New Roman" w:hAnsi="Times New Roman" w:eastAsia="仿宋" w:cs="Times New Roman"/>
          <w:color w:val="auto"/>
          <w:sz w:val="24"/>
        </w:rPr>
        <w:t>结果的私下接触，否则将取消其参与磋商的资格。</w:t>
      </w:r>
    </w:p>
    <w:p>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pPr>
        <w:tabs>
          <w:tab w:val="left" w:pos="7665"/>
        </w:tabs>
        <w:spacing w:line="500" w:lineRule="exact"/>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5.</w:t>
      </w:r>
      <w:r>
        <w:rPr>
          <w:rFonts w:ascii="Times New Roman" w:hAnsi="Times New Roman" w:eastAsia="仿宋" w:cs="Times New Roman"/>
          <w:b/>
          <w:color w:val="auto"/>
          <w:sz w:val="24"/>
        </w:rPr>
        <w:t>磋商小组在采购活动中承担以下义务：</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pPr>
        <w:tabs>
          <w:tab w:val="left" w:pos="7665"/>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w:t>
      </w:r>
      <w:r>
        <w:rPr>
          <w:rFonts w:hint="eastAsia" w:ascii="Times New Roman" w:hAnsi="Times New Roman" w:eastAsia="仿宋" w:cs="Times New Roman"/>
          <w:b/>
          <w:color w:val="auto"/>
          <w:sz w:val="24"/>
        </w:rPr>
        <w:t>磋商小组</w:t>
      </w:r>
      <w:r>
        <w:rPr>
          <w:rFonts w:ascii="Times New Roman" w:hAnsi="Times New Roman" w:eastAsia="仿宋" w:cs="Times New Roman"/>
          <w:b/>
          <w:color w:val="auto"/>
          <w:sz w:val="24"/>
        </w:rPr>
        <w:t>在采购活动中应当遵守以下工作纪律：</w:t>
      </w:r>
    </w:p>
    <w:p>
      <w:pPr>
        <w:tabs>
          <w:tab w:val="left" w:pos="7665"/>
        </w:tabs>
        <w:spacing w:line="500" w:lineRule="exact"/>
        <w:ind w:firstLine="480"/>
        <w:rPr>
          <w:rFonts w:ascii="仿宋" w:eastAsia="仿宋"/>
          <w:color w:val="auto"/>
          <w:sz w:val="24"/>
        </w:rPr>
      </w:pPr>
      <w:r>
        <w:rPr>
          <w:rFonts w:ascii="Times New Roman" w:hAnsi="Times New Roman" w:eastAsia="仿宋" w:cs="Times New Roman"/>
          <w:color w:val="auto"/>
          <w:sz w:val="24"/>
        </w:rPr>
        <w:t>（一）</w:t>
      </w:r>
      <w:r>
        <w:rPr>
          <w:rFonts w:hint="eastAsia" w:ascii="仿宋" w:eastAsia="仿宋"/>
          <w:color w:val="auto"/>
          <w:sz w:val="24"/>
        </w:rPr>
        <w:t>不得参加与自己有利害关系的采购项目的评标活动。发现参加了与自己有利害关系的评审活动，须主动提出回避，退出评审；</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pPr>
        <w:tabs>
          <w:tab w:val="left" w:pos="7665"/>
        </w:tabs>
        <w:spacing w:line="500" w:lineRule="exact"/>
        <w:ind w:firstLine="480"/>
        <w:jc w:val="left"/>
        <w:outlineLvl w:val="9"/>
        <w:rPr>
          <w:rFonts w:ascii="Times New Roman" w:hAnsi="Times New Roman" w:eastAsia="仿宋" w:cs="Times New Roman"/>
          <w:b/>
          <w:bCs/>
          <w:color w:val="auto"/>
          <w:sz w:val="36"/>
          <w:szCs w:val="36"/>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bookmarkStart w:id="79" w:name="_Toc7369"/>
      <w:bookmarkStart w:id="80" w:name="_Toc112053985"/>
    </w:p>
    <w:p>
      <w:pPr>
        <w:tabs>
          <w:tab w:val="left" w:pos="7665"/>
        </w:tabs>
        <w:spacing w:line="560" w:lineRule="exact"/>
        <w:jc w:val="center"/>
        <w:outlineLvl w:val="0"/>
        <w:rPr>
          <w:rFonts w:ascii="Times New Roman" w:hAnsi="Times New Roman" w:eastAsia="仿宋" w:cs="Times New Roman"/>
          <w:color w:val="auto"/>
          <w:sz w:val="36"/>
          <w:szCs w:val="36"/>
        </w:rPr>
      </w:pPr>
      <w:r>
        <w:rPr>
          <w:rFonts w:ascii="Times New Roman" w:hAnsi="Times New Roman" w:eastAsia="仿宋" w:cs="Times New Roman"/>
          <w:b/>
          <w:bCs/>
          <w:color w:val="auto"/>
          <w:sz w:val="36"/>
          <w:szCs w:val="36"/>
        </w:rPr>
        <w:t>第九章  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pPr>
        <w:spacing w:line="360" w:lineRule="auto"/>
        <w:rPr>
          <w:rFonts w:ascii="仿宋" w:eastAsia="仿宋"/>
          <w:b/>
          <w:color w:val="auto"/>
          <w:sz w:val="24"/>
        </w:rPr>
      </w:pPr>
      <w:r>
        <w:rPr>
          <w:rFonts w:hint="eastAsia" w:ascii="仿宋" w:eastAsia="仿宋"/>
          <w:b/>
          <w:color w:val="auto"/>
          <w:sz w:val="24"/>
        </w:rPr>
        <w:t>合同草案条款</w:t>
      </w:r>
    </w:p>
    <w:p>
      <w:pPr>
        <w:spacing w:line="360" w:lineRule="auto"/>
        <w:rPr>
          <w:rFonts w:ascii="仿宋" w:eastAsia="仿宋"/>
          <w:color w:val="auto"/>
          <w:sz w:val="24"/>
        </w:rPr>
      </w:pPr>
      <w:r>
        <w:rPr>
          <w:rFonts w:hint="eastAsia" w:ascii="仿宋" w:eastAsia="仿宋"/>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针对本项目的磋商文件；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pPr>
        <w:tabs>
          <w:tab w:val="left" w:pos="1521"/>
        </w:tabs>
        <w:autoSpaceDE w:val="0"/>
        <w:autoSpaceDN w:val="0"/>
        <w:snapToGrid w:val="0"/>
        <w:spacing w:line="520" w:lineRule="exact"/>
        <w:rPr>
          <w:rFonts w:ascii="仿宋" w:eastAsia="仿宋"/>
          <w:b/>
          <w:color w:val="auto"/>
          <w:spacing w:val="8"/>
          <w:sz w:val="24"/>
        </w:rPr>
      </w:pPr>
      <w:bookmarkStart w:id="81" w:name="_Toc282696226"/>
      <w:bookmarkStart w:id="82" w:name="_Toc239568418"/>
      <w:bookmarkStart w:id="83" w:name="_Toc225654644"/>
      <w:bookmarkStart w:id="84" w:name="_Toc211854449"/>
      <w:bookmarkStart w:id="85" w:name="_Toc232492928"/>
      <w:bookmarkStart w:id="86" w:name="_Toc286993786"/>
      <w:bookmarkStart w:id="87" w:name="_Toc283019214"/>
      <w:bookmarkStart w:id="88" w:name="_Toc251768862"/>
      <w:bookmarkStart w:id="89" w:name="_Toc241833903"/>
      <w:bookmarkStart w:id="90" w:name="_Toc185395249"/>
      <w:bookmarkStart w:id="91" w:name="_Toc247334841"/>
      <w:bookmarkStart w:id="92" w:name="_Toc225244852"/>
      <w:bookmarkStart w:id="93" w:name="_Toc237145406"/>
      <w:bookmarkStart w:id="94" w:name="_Toc239233914"/>
      <w:bookmarkStart w:id="95" w:name="_Toc212019594"/>
      <w:bookmarkStart w:id="96" w:name="_Toc238984975"/>
      <w:bookmarkStart w:id="97" w:name="_Toc211911348"/>
      <w:bookmarkStart w:id="98" w:name="_Toc225670751"/>
      <w:r>
        <w:rPr>
          <w:rFonts w:hint="eastAsia" w:ascii="仿宋" w:eastAsia="仿宋"/>
          <w:b/>
          <w:color w:val="auto"/>
          <w:spacing w:val="8"/>
          <w:sz w:val="24"/>
        </w:rPr>
        <w:t>4. 服务内容与质量标准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pPr>
        <w:spacing w:line="360" w:lineRule="auto"/>
        <w:ind w:firstLine="630"/>
        <w:rPr>
          <w:rFonts w:ascii="仿宋" w:eastAsia="仿宋"/>
          <w:color w:val="auto"/>
          <w:sz w:val="24"/>
        </w:rPr>
      </w:pPr>
      <w:r>
        <w:rPr>
          <w:rFonts w:hint="eastAsia" w:ascii="仿宋" w:eastAsia="仿宋"/>
          <w:color w:val="auto"/>
          <w:sz w:val="24"/>
        </w:rPr>
        <w:t>…</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pPr>
        <w:spacing w:line="360" w:lineRule="auto"/>
        <w:rPr>
          <w:rFonts w:ascii="仿宋" w:eastAsia="仿宋"/>
          <w:b/>
          <w:color w:val="auto"/>
          <w:sz w:val="24"/>
        </w:rPr>
      </w:pPr>
      <w:r>
        <w:rPr>
          <w:rFonts w:hint="eastAsia" w:ascii="仿宋" w:eastAsia="仿宋"/>
          <w:b/>
          <w:color w:val="auto"/>
          <w:sz w:val="24"/>
        </w:rPr>
        <w:t>6. 知识产权</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pPr>
        <w:spacing w:line="360" w:lineRule="auto"/>
        <w:rPr>
          <w:rFonts w:ascii="仿宋" w:eastAsia="仿宋"/>
          <w:b/>
          <w:color w:val="auto"/>
          <w:sz w:val="24"/>
        </w:rPr>
      </w:pPr>
      <w:r>
        <w:rPr>
          <w:rFonts w:hint="eastAsia" w:ascii="仿宋" w:eastAsia="仿宋"/>
          <w:b/>
          <w:color w:val="auto"/>
          <w:sz w:val="24"/>
        </w:rPr>
        <w:t>7. 无产权瑕疵条款</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color w:val="auto"/>
          <w:sz w:val="24"/>
        </w:rPr>
      </w:pPr>
      <w:r>
        <w:rPr>
          <w:rFonts w:hint="eastAsia" w:ascii="仿宋" w:eastAsia="仿宋"/>
          <w:b/>
          <w:color w:val="auto"/>
          <w:sz w:val="24"/>
        </w:rPr>
        <w:t>8. 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11.2 如因乙方工作人员在履行职务过程</w:t>
      </w:r>
      <w:r>
        <w:rPr>
          <w:rFonts w:hint="eastAsia" w:ascii="仿宋" w:eastAsia="仿宋"/>
          <w:color w:val="auto"/>
          <w:spacing w:val="8"/>
          <w:sz w:val="24"/>
          <w:lang w:eastAsia="zh-CN"/>
        </w:rPr>
        <w:t>中的</w:t>
      </w:r>
      <w:r>
        <w:rPr>
          <w:rFonts w:hint="eastAsia" w:ascii="仿宋" w:eastAsia="仿宋"/>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Pr>
        <w:tabs>
          <w:tab w:val="left" w:pos="1521"/>
        </w:tabs>
        <w:autoSpaceDE w:val="0"/>
        <w:autoSpaceDN w:val="0"/>
        <w:snapToGrid w:val="0"/>
        <w:spacing w:line="520" w:lineRule="exact"/>
        <w:rPr>
          <w:rFonts w:ascii="仿宋" w:eastAsia="仿宋"/>
          <w:b/>
          <w:color w:val="auto"/>
          <w:spacing w:val="8"/>
          <w:sz w:val="24"/>
        </w:rPr>
      </w:pPr>
      <w:bookmarkStart w:id="99" w:name="_Toc286993792"/>
      <w:bookmarkStart w:id="100" w:name="_Toc239568423"/>
      <w:bookmarkStart w:id="101" w:name="_Toc237145411"/>
      <w:bookmarkStart w:id="102" w:name="_Toc232492933"/>
      <w:bookmarkStart w:id="103" w:name="_Toc251768867"/>
      <w:bookmarkStart w:id="104" w:name="_Toc239233919"/>
      <w:bookmarkStart w:id="105" w:name="_Toc225670756"/>
      <w:bookmarkStart w:id="106" w:name="_Toc212019599"/>
      <w:bookmarkStart w:id="107" w:name="_Toc225654649"/>
      <w:bookmarkStart w:id="108" w:name="_Toc247334846"/>
      <w:bookmarkStart w:id="109" w:name="_Toc238984980"/>
      <w:bookmarkStart w:id="110" w:name="_Toc241833908"/>
      <w:bookmarkStart w:id="111" w:name="_Toc211854454"/>
      <w:bookmarkStart w:id="112" w:name="_Toc185395254"/>
      <w:bookmarkStart w:id="113" w:name="_Toc211911353"/>
      <w:bookmarkStart w:id="114" w:name="_Toc225244857"/>
      <w:r>
        <w:rPr>
          <w:rFonts w:hint="eastAsia" w:ascii="仿宋" w:eastAsia="仿宋"/>
          <w:b/>
          <w:color w:val="auto"/>
          <w:spacing w:val="8"/>
          <w:sz w:val="24"/>
        </w:rPr>
        <w:t>13. 解决合同纠纷的方式</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color w:val="auto"/>
          <w:spacing w:val="8"/>
          <w:sz w:val="24"/>
        </w:rPr>
      </w:pPr>
      <w:bookmarkStart w:id="115" w:name="_Toc251768868"/>
      <w:bookmarkStart w:id="116" w:name="_Toc241833909"/>
      <w:bookmarkStart w:id="117" w:name="_Toc283019219"/>
      <w:bookmarkStart w:id="118" w:name="_Toc239568424"/>
      <w:bookmarkStart w:id="119" w:name="_Toc225670757"/>
      <w:bookmarkStart w:id="120" w:name="_Toc211911354"/>
      <w:bookmarkStart w:id="121" w:name="_Toc185395255"/>
      <w:bookmarkStart w:id="122" w:name="_Toc238984981"/>
      <w:bookmarkStart w:id="123" w:name="_Toc247334847"/>
      <w:bookmarkStart w:id="124" w:name="_Toc232492934"/>
      <w:bookmarkStart w:id="125" w:name="_Toc212019600"/>
      <w:bookmarkStart w:id="126" w:name="_Toc239233920"/>
      <w:bookmarkStart w:id="127" w:name="_Toc225654650"/>
      <w:bookmarkStart w:id="128" w:name="_Toc237145412"/>
      <w:bookmarkStart w:id="129" w:name="_Toc225244858"/>
      <w:bookmarkStart w:id="130" w:name="_Toc286993793"/>
      <w:bookmarkStart w:id="131" w:name="_Toc282696231"/>
      <w:bookmarkStart w:id="132" w:name="_Toc211854455"/>
      <w:r>
        <w:rPr>
          <w:rFonts w:hint="eastAsia" w:ascii="仿宋" w:eastAsia="仿宋"/>
          <w:b/>
          <w:color w:val="auto"/>
          <w:spacing w:val="8"/>
          <w:sz w:val="24"/>
        </w:rPr>
        <w:t>14. 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仿宋" w:eastAsia="仿宋"/>
          <w:b/>
          <w:color w:val="auto"/>
          <w:spacing w:val="8"/>
          <w:sz w:val="24"/>
        </w:rPr>
        <w:t>生效及其他</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w:t>
      </w:r>
      <w:r>
        <w:rPr>
          <w:rFonts w:hint="eastAsia" w:ascii="仿宋" w:eastAsia="仿宋"/>
          <w:color w:val="auto"/>
          <w:spacing w:val="8"/>
          <w:sz w:val="24"/>
          <w:lang w:eastAsia="zh-CN"/>
        </w:rPr>
        <w:t>签订</w:t>
      </w:r>
      <w:r>
        <w:rPr>
          <w:rFonts w:hint="eastAsia" w:ascii="仿宋" w:eastAsia="仿宋"/>
          <w:color w:val="auto"/>
          <w:spacing w:val="8"/>
          <w:sz w:val="24"/>
        </w:rPr>
        <w:t>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w:t>
      </w:r>
      <w:r>
        <w:rPr>
          <w:rFonts w:hint="eastAsia" w:ascii="仿宋" w:eastAsia="仿宋"/>
          <w:color w:val="auto"/>
          <w:spacing w:val="8"/>
          <w:sz w:val="24"/>
          <w:lang w:eastAsia="zh-CN"/>
        </w:rPr>
        <w:t>生效</w:t>
      </w:r>
      <w:r>
        <w:rPr>
          <w:rFonts w:hint="eastAsia" w:ascii="仿宋" w:eastAsia="仿宋"/>
          <w:color w:val="auto"/>
          <w:spacing w:val="8"/>
          <w:sz w:val="24"/>
        </w:rPr>
        <w:t>。甲方  份，乙方  份，政府采购代理机构  份，同级财政部门备案  份，具有同等法律效力。</w:t>
      </w:r>
    </w:p>
    <w:p>
      <w:pPr>
        <w:pStyle w:val="29"/>
        <w:spacing w:line="360" w:lineRule="auto"/>
        <w:ind w:firstLine="480"/>
        <w:rPr>
          <w:rFonts w:ascii="仿宋" w:eastAsia="仿宋"/>
          <w:color w:val="auto"/>
          <w:sz w:val="24"/>
        </w:rPr>
      </w:pPr>
    </w:p>
    <w:p>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pPr>
        <w:spacing w:line="400" w:lineRule="exact"/>
        <w:ind w:firstLine="480" w:firstLineChars="200"/>
        <w:rPr>
          <w:rFonts w:ascii="仿宋" w:eastAsia="仿宋"/>
          <w:color w:val="auto"/>
          <w:sz w:val="24"/>
        </w:rPr>
      </w:pPr>
      <w:r>
        <w:rPr>
          <w:rFonts w:hint="eastAsia" w:ascii="仿宋" w:eastAsia="仿宋"/>
          <w:color w:val="auto"/>
          <w:sz w:val="24"/>
        </w:rPr>
        <w:t>地址：                         地址：</w:t>
      </w:r>
    </w:p>
    <w:p>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pPr>
        <w:spacing w:line="400" w:lineRule="exact"/>
        <w:ind w:firstLine="480" w:firstLineChars="200"/>
        <w:rPr>
          <w:rFonts w:ascii="仿宋" w:eastAsia="仿宋"/>
          <w:color w:val="auto"/>
          <w:sz w:val="24"/>
        </w:rPr>
      </w:pPr>
      <w:r>
        <w:rPr>
          <w:rFonts w:hint="eastAsia" w:ascii="仿宋" w:eastAsia="仿宋"/>
          <w:color w:val="auto"/>
          <w:sz w:val="24"/>
        </w:rPr>
        <w:t>账号：                         账号：</w:t>
      </w:r>
    </w:p>
    <w:p>
      <w:pPr>
        <w:spacing w:line="400" w:lineRule="exact"/>
        <w:ind w:firstLine="480" w:firstLineChars="200"/>
        <w:rPr>
          <w:rFonts w:ascii="仿宋" w:eastAsia="仿宋"/>
          <w:color w:val="auto"/>
          <w:sz w:val="24"/>
        </w:rPr>
      </w:pPr>
      <w:r>
        <w:rPr>
          <w:rFonts w:hint="eastAsia" w:ascii="仿宋" w:eastAsia="仿宋"/>
          <w:color w:val="auto"/>
          <w:sz w:val="24"/>
        </w:rPr>
        <w:t>电话：                         电话：</w:t>
      </w:r>
    </w:p>
    <w:p>
      <w:pPr>
        <w:spacing w:line="400" w:lineRule="exact"/>
        <w:ind w:firstLine="480" w:firstLineChars="200"/>
        <w:rPr>
          <w:rFonts w:ascii="仿宋" w:eastAsia="仿宋"/>
          <w:color w:val="auto"/>
          <w:sz w:val="24"/>
        </w:rPr>
      </w:pPr>
      <w:r>
        <w:rPr>
          <w:rFonts w:hint="eastAsia" w:ascii="仿宋" w:eastAsia="仿宋"/>
          <w:color w:val="auto"/>
          <w:sz w:val="24"/>
        </w:rPr>
        <w:t>传真：                         传真：</w:t>
      </w:r>
    </w:p>
    <w:p>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r>
        <w:rPr>
          <w:rFonts w:ascii="Times New Roman" w:hAnsi="Times New Roman" w:eastAsia="仿宋" w:cs="Times New Roman"/>
          <w:b/>
          <w:color w:val="auto"/>
          <w:sz w:val="32"/>
        </w:rPr>
        <w:t>附件</w:t>
      </w:r>
      <w:bookmarkEnd w:id="79"/>
      <w:bookmarkEnd w:id="80"/>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w:t>
      </w:r>
      <w:r>
        <w:rPr>
          <w:rFonts w:hint="eastAsia" w:ascii="Times New Roman" w:hAnsi="Times New Roman" w:eastAsia="仿宋" w:cs="Times New Roman"/>
          <w:b/>
          <w:color w:val="auto"/>
          <w:sz w:val="32"/>
        </w:rPr>
        <w:t>（服务类）</w:t>
      </w:r>
    </w:p>
    <w:p>
      <w:pPr>
        <w:jc w:val="left"/>
        <w:rPr>
          <w:rFonts w:ascii="Times New Roman" w:hAnsi="Times New Roman" w:eastAsia="仿宋" w:cs="Times New Roman"/>
          <w:color w:val="auto"/>
        </w:rPr>
      </w:pP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采购编号：</w:t>
      </w: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22"/>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w:t>
            </w:r>
            <w:r>
              <w:rPr>
                <w:rFonts w:ascii="Times New Roman" w:hAnsi="Times New Roman" w:eastAsia="仿宋" w:cs="Times New Roman"/>
                <w:color w:val="auto"/>
                <w:sz w:val="24"/>
              </w:rPr>
              <w:t>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pPr>
        <w:ind w:right="1302" w:firstLine="420"/>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 1.所有报价均用人民币表示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所报价格</w:t>
      </w:r>
      <w:r>
        <w:rPr>
          <w:rFonts w:hint="eastAsia" w:ascii="Times New Roman" w:hAnsi="Times New Roman" w:eastAsia="仿宋" w:cs="Times New Roman"/>
          <w:color w:val="auto"/>
          <w:sz w:val="24"/>
        </w:rPr>
        <w:t>是供应商响应采购项目要求的全部工作内容的价格体现，供应商完成本项目所需的一切费用</w:t>
      </w:r>
      <w:r>
        <w:rPr>
          <w:rFonts w:ascii="Times New Roman" w:hAnsi="Times New Roman" w:eastAsia="仿宋" w:cs="Times New Roman"/>
          <w:color w:val="auto"/>
          <w:sz w:val="24"/>
        </w:rPr>
        <w:t>以及采购文件规定的其他费用均应包含在报价中</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其总价即为履行合同的固定价格。</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w:t>
      </w:r>
      <w:r>
        <w:rPr>
          <w:rFonts w:hint="eastAsia" w:ascii="Times New Roman" w:hAnsi="Times New Roman" w:eastAsia="仿宋" w:cs="Times New Roman"/>
          <w:color w:val="auto"/>
          <w:sz w:val="24"/>
        </w:rPr>
        <w:t>服务</w:t>
      </w:r>
      <w:r>
        <w:rPr>
          <w:rFonts w:ascii="Times New Roman" w:hAnsi="Times New Roman" w:eastAsia="仿宋" w:cs="Times New Roman"/>
          <w:color w:val="auto"/>
          <w:sz w:val="24"/>
        </w:rPr>
        <w:t>内容。</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spacing w:line="360" w:lineRule="auto"/>
        <w:ind w:firstLine="472"/>
        <w:jc w:val="left"/>
        <w:rPr>
          <w:rFonts w:ascii="Times New Roman" w:hAnsi="Times New Roman" w:eastAsia="仿宋" w:cs="Times New Roman"/>
          <w:b/>
          <w:color w:val="auto"/>
          <w:sz w:val="24"/>
        </w:rPr>
      </w:pPr>
    </w:p>
    <w:p>
      <w:pPr>
        <w:widowControl/>
        <w:spacing w:line="360" w:lineRule="atLeast"/>
        <w:jc w:val="left"/>
        <w:outlineLvl w:val="1"/>
        <w:rPr>
          <w:rFonts w:ascii="仿宋" w:eastAsia="仿宋"/>
          <w:b/>
          <w:color w:val="auto"/>
          <w:sz w:val="32"/>
          <w:szCs w:val="32"/>
        </w:rPr>
      </w:pPr>
    </w:p>
    <w:p>
      <w:pPr>
        <w:keepNext w:val="0"/>
        <w:widowControl w:val="0"/>
        <w:kinsoku w:val="0"/>
        <w:overflowPunct w:val="0"/>
        <w:autoSpaceDN w:val="0"/>
        <w:adjustRightInd w:val="0"/>
        <w:snapToGrid w:val="0"/>
        <w:spacing w:line="400" w:lineRule="exact"/>
        <w:jc w:val="both"/>
        <w:rPr>
          <w:rFonts w:hint="eastAsia"/>
          <w:color w:val="auto"/>
        </w:rPr>
      </w:pPr>
    </w:p>
    <w:sectPr>
      <w:footerReference r:id="rId7"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7681A1-C432-43FC-8091-47F6CC19A4D3}"/>
  </w:font>
  <w:font w:name="黑体">
    <w:panose1 w:val="02010609060101010101"/>
    <w:charset w:val="86"/>
    <w:family w:val="auto"/>
    <w:pitch w:val="default"/>
    <w:sig w:usb0="800002BF" w:usb1="38CF7CFA" w:usb2="00000016" w:usb3="00000000" w:csb0="00040001" w:csb1="00000000"/>
    <w:embedRegular r:id="rId2" w:fontKey="{844AE185-6AFA-48AE-833B-E713D37FBE7B}"/>
  </w:font>
  <w:font w:name="Courier New">
    <w:panose1 w:val="02070309020205020404"/>
    <w:charset w:val="01"/>
    <w:family w:val="modern"/>
    <w:pitch w:val="default"/>
    <w:sig w:usb0="E0002EFF" w:usb1="C0007843" w:usb2="00000009" w:usb3="00000000" w:csb0="400001FF" w:csb1="FFFF0000"/>
    <w:embedRegular r:id="rId3" w:fontKey="{1406F808-2CEC-480E-96F0-7DED3EFB972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D39FA864-5FAE-42D1-BD1B-689BAC0B8228}"/>
  </w:font>
  <w:font w:name="微软雅黑">
    <w:panose1 w:val="020B0503020204020204"/>
    <w:charset w:val="86"/>
    <w:family w:val="swiss"/>
    <w:pitch w:val="default"/>
    <w:sig w:usb0="80000287" w:usb1="2ACF3C50" w:usb2="00000016" w:usb3="00000000" w:csb0="0004001F" w:csb1="00000000"/>
    <w:embedRegular r:id="rId5" w:fontKey="{955484C7-2A5F-4EB4-8400-5BB9EE564FF3}"/>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6" w:fontKey="{EAB82868-0840-4A20-B1A5-E04B6ED41348}"/>
  </w:font>
  <w:font w:name="仿宋">
    <w:panose1 w:val="02010609060101010101"/>
    <w:charset w:val="86"/>
    <w:family w:val="modern"/>
    <w:pitch w:val="default"/>
    <w:sig w:usb0="800002BF" w:usb1="38CF7CFA" w:usb2="00000016" w:usb3="00000000" w:csb0="00040001" w:csb1="00000000"/>
    <w:embedRegular r:id="rId7" w:fontKey="{9AFFE9F6-8FC2-4C8E-8B21-2C66B6EADEAE}"/>
  </w:font>
  <w:font w:name="MS Gothic">
    <w:panose1 w:val="020B0609070205080204"/>
    <w:charset w:val="80"/>
    <w:family w:val="modern"/>
    <w:pitch w:val="default"/>
    <w:sig w:usb0="E00002FF" w:usb1="6AC7FDFB" w:usb2="08000012" w:usb3="00000000" w:csb0="4002009F" w:csb1="DFD70000"/>
    <w:embedRegular r:id="rId8" w:fontKey="{BCE61508-01AB-4DE5-92B1-896BE05EDE8E}"/>
  </w:font>
  <w:font w:name="方正黑体_GBK">
    <w:panose1 w:val="03000509000000000000"/>
    <w:charset w:val="86"/>
    <w:family w:val="auto"/>
    <w:pitch w:val="default"/>
    <w:sig w:usb0="00000001" w:usb1="080E0000" w:usb2="00000000" w:usb3="00000000" w:csb0="00040000" w:csb1="00000000"/>
    <w:embedRegular r:id="rId9" w:fontKey="{9900B856-A59E-4F79-A026-94C052625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PAGE   \* MERGEFORMAT</w:instrText>
                          </w:r>
                          <w:r>
                            <w:fldChar w:fldCharType="separate"/>
                          </w:r>
                          <w:r>
                            <w:rPr>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9D905"/>
    <w:multiLevelType w:val="singleLevel"/>
    <w:tmpl w:val="2BA9D9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TU3MWZlMWZjNjM5M2NiNGUwM2YyZjkyMDk0YTAifQ=="/>
  </w:docVars>
  <w:rsids>
    <w:rsidRoot w:val="006B13BA"/>
    <w:rsid w:val="00057A92"/>
    <w:rsid w:val="0007357E"/>
    <w:rsid w:val="00174D85"/>
    <w:rsid w:val="005F4CB4"/>
    <w:rsid w:val="006870B3"/>
    <w:rsid w:val="006B13BA"/>
    <w:rsid w:val="007A77F0"/>
    <w:rsid w:val="00C20BE8"/>
    <w:rsid w:val="00C63D73"/>
    <w:rsid w:val="00D2457D"/>
    <w:rsid w:val="01103B73"/>
    <w:rsid w:val="01280DA9"/>
    <w:rsid w:val="012D20C6"/>
    <w:rsid w:val="0146415D"/>
    <w:rsid w:val="0155192A"/>
    <w:rsid w:val="016A6FEE"/>
    <w:rsid w:val="01A346EC"/>
    <w:rsid w:val="021C0BD2"/>
    <w:rsid w:val="02704AC1"/>
    <w:rsid w:val="02852023"/>
    <w:rsid w:val="0287552A"/>
    <w:rsid w:val="02954F09"/>
    <w:rsid w:val="02B24733"/>
    <w:rsid w:val="02E218D1"/>
    <w:rsid w:val="03080CC3"/>
    <w:rsid w:val="030B2EE5"/>
    <w:rsid w:val="03584052"/>
    <w:rsid w:val="03E8330A"/>
    <w:rsid w:val="03F345C8"/>
    <w:rsid w:val="04121D47"/>
    <w:rsid w:val="04134743"/>
    <w:rsid w:val="043342FB"/>
    <w:rsid w:val="047D30E7"/>
    <w:rsid w:val="04820C61"/>
    <w:rsid w:val="04967BF1"/>
    <w:rsid w:val="05082876"/>
    <w:rsid w:val="05520B50"/>
    <w:rsid w:val="0559104E"/>
    <w:rsid w:val="0580704B"/>
    <w:rsid w:val="05997E8B"/>
    <w:rsid w:val="05D17E8B"/>
    <w:rsid w:val="05E27CFE"/>
    <w:rsid w:val="05EF360B"/>
    <w:rsid w:val="05EF3BC6"/>
    <w:rsid w:val="05F57523"/>
    <w:rsid w:val="06176B15"/>
    <w:rsid w:val="061B1D9B"/>
    <w:rsid w:val="06235A3D"/>
    <w:rsid w:val="065A1186"/>
    <w:rsid w:val="0673133A"/>
    <w:rsid w:val="06921CCD"/>
    <w:rsid w:val="06AC4A16"/>
    <w:rsid w:val="06E25641"/>
    <w:rsid w:val="06F40394"/>
    <w:rsid w:val="0710646F"/>
    <w:rsid w:val="075A0A98"/>
    <w:rsid w:val="07816512"/>
    <w:rsid w:val="07DA1F6A"/>
    <w:rsid w:val="080C675F"/>
    <w:rsid w:val="08206940"/>
    <w:rsid w:val="08C4436E"/>
    <w:rsid w:val="094A685D"/>
    <w:rsid w:val="096B3528"/>
    <w:rsid w:val="098351BD"/>
    <w:rsid w:val="09966A47"/>
    <w:rsid w:val="09A36DC3"/>
    <w:rsid w:val="09E05572"/>
    <w:rsid w:val="0A0D7099"/>
    <w:rsid w:val="0A956D4B"/>
    <w:rsid w:val="0A9E1FD1"/>
    <w:rsid w:val="0B037E79"/>
    <w:rsid w:val="0B617B9B"/>
    <w:rsid w:val="0B81357D"/>
    <w:rsid w:val="0BCA674F"/>
    <w:rsid w:val="0BE97A7F"/>
    <w:rsid w:val="0BF46C8C"/>
    <w:rsid w:val="0C652DF9"/>
    <w:rsid w:val="0C870EDF"/>
    <w:rsid w:val="0D1B6EE9"/>
    <w:rsid w:val="0D1D2320"/>
    <w:rsid w:val="0D5153E9"/>
    <w:rsid w:val="0D5C636E"/>
    <w:rsid w:val="0D89049E"/>
    <w:rsid w:val="0D9D5A66"/>
    <w:rsid w:val="0DC30FA3"/>
    <w:rsid w:val="0DEB28A4"/>
    <w:rsid w:val="0E337291"/>
    <w:rsid w:val="0E423E0C"/>
    <w:rsid w:val="0E6C2E8E"/>
    <w:rsid w:val="0E7F78A2"/>
    <w:rsid w:val="0F026C73"/>
    <w:rsid w:val="0F1A2401"/>
    <w:rsid w:val="0FA02E78"/>
    <w:rsid w:val="0FA3517E"/>
    <w:rsid w:val="0FD23DE0"/>
    <w:rsid w:val="0FE833E7"/>
    <w:rsid w:val="0FF83B08"/>
    <w:rsid w:val="105672BD"/>
    <w:rsid w:val="1067027D"/>
    <w:rsid w:val="10A60CB3"/>
    <w:rsid w:val="10AC2F65"/>
    <w:rsid w:val="11052E8A"/>
    <w:rsid w:val="11C51A9B"/>
    <w:rsid w:val="11EC002E"/>
    <w:rsid w:val="11F77D31"/>
    <w:rsid w:val="120C69F3"/>
    <w:rsid w:val="12241397"/>
    <w:rsid w:val="125675DC"/>
    <w:rsid w:val="125E0587"/>
    <w:rsid w:val="1273493F"/>
    <w:rsid w:val="12740220"/>
    <w:rsid w:val="12B81131"/>
    <w:rsid w:val="12D31A43"/>
    <w:rsid w:val="12FC2DB3"/>
    <w:rsid w:val="131D4223"/>
    <w:rsid w:val="131D6D83"/>
    <w:rsid w:val="132E045D"/>
    <w:rsid w:val="133F2E5E"/>
    <w:rsid w:val="13802963"/>
    <w:rsid w:val="13FB5F1E"/>
    <w:rsid w:val="142B25DA"/>
    <w:rsid w:val="14360402"/>
    <w:rsid w:val="14F83EB0"/>
    <w:rsid w:val="153C4F6A"/>
    <w:rsid w:val="156D6798"/>
    <w:rsid w:val="15E3325B"/>
    <w:rsid w:val="15FE0523"/>
    <w:rsid w:val="16025DDE"/>
    <w:rsid w:val="16072D8F"/>
    <w:rsid w:val="16142787"/>
    <w:rsid w:val="16D91C6B"/>
    <w:rsid w:val="1717403B"/>
    <w:rsid w:val="1739796B"/>
    <w:rsid w:val="173C4B1A"/>
    <w:rsid w:val="177A2627"/>
    <w:rsid w:val="177F2AC5"/>
    <w:rsid w:val="17A05824"/>
    <w:rsid w:val="17C37B9B"/>
    <w:rsid w:val="17EB0314"/>
    <w:rsid w:val="181667CB"/>
    <w:rsid w:val="18591DC6"/>
    <w:rsid w:val="186B29AB"/>
    <w:rsid w:val="187757A3"/>
    <w:rsid w:val="18852E01"/>
    <w:rsid w:val="18D6686C"/>
    <w:rsid w:val="18D90504"/>
    <w:rsid w:val="18D923A8"/>
    <w:rsid w:val="191C12E4"/>
    <w:rsid w:val="19314CCF"/>
    <w:rsid w:val="19870393"/>
    <w:rsid w:val="198721D8"/>
    <w:rsid w:val="1987458E"/>
    <w:rsid w:val="19A549E3"/>
    <w:rsid w:val="19B53D46"/>
    <w:rsid w:val="19BD7AA3"/>
    <w:rsid w:val="19BE16F4"/>
    <w:rsid w:val="19E34421"/>
    <w:rsid w:val="19EF047E"/>
    <w:rsid w:val="1A323665"/>
    <w:rsid w:val="1A33694B"/>
    <w:rsid w:val="1A605CF8"/>
    <w:rsid w:val="1A8053C3"/>
    <w:rsid w:val="1ACC1566"/>
    <w:rsid w:val="1AF12E29"/>
    <w:rsid w:val="1AFA24B4"/>
    <w:rsid w:val="1B0A005D"/>
    <w:rsid w:val="1B80591D"/>
    <w:rsid w:val="1B827376"/>
    <w:rsid w:val="1BC6137A"/>
    <w:rsid w:val="1BD03CC9"/>
    <w:rsid w:val="1BD85D3B"/>
    <w:rsid w:val="1C0616A9"/>
    <w:rsid w:val="1C1A300B"/>
    <w:rsid w:val="1C4B2498"/>
    <w:rsid w:val="1CBD25FA"/>
    <w:rsid w:val="1CEB5E85"/>
    <w:rsid w:val="1CF14CE4"/>
    <w:rsid w:val="1CF84EB8"/>
    <w:rsid w:val="1D584438"/>
    <w:rsid w:val="1D625462"/>
    <w:rsid w:val="1D795E2F"/>
    <w:rsid w:val="1D7E3660"/>
    <w:rsid w:val="1DC00907"/>
    <w:rsid w:val="1DC6087A"/>
    <w:rsid w:val="1DCA26E4"/>
    <w:rsid w:val="1DD71815"/>
    <w:rsid w:val="1DEE015C"/>
    <w:rsid w:val="1E032784"/>
    <w:rsid w:val="1ECE755E"/>
    <w:rsid w:val="1F145D51"/>
    <w:rsid w:val="1F777037"/>
    <w:rsid w:val="1FC43F91"/>
    <w:rsid w:val="203D5BC4"/>
    <w:rsid w:val="206D6828"/>
    <w:rsid w:val="20B11777"/>
    <w:rsid w:val="20D20540"/>
    <w:rsid w:val="20D87CD8"/>
    <w:rsid w:val="20DE6C42"/>
    <w:rsid w:val="21274E84"/>
    <w:rsid w:val="2134500E"/>
    <w:rsid w:val="215431AE"/>
    <w:rsid w:val="217B2CCE"/>
    <w:rsid w:val="21CC034B"/>
    <w:rsid w:val="22CA2ADF"/>
    <w:rsid w:val="22EE13BE"/>
    <w:rsid w:val="23B902A8"/>
    <w:rsid w:val="23CC5E82"/>
    <w:rsid w:val="24034A68"/>
    <w:rsid w:val="24082264"/>
    <w:rsid w:val="24301760"/>
    <w:rsid w:val="24A61C4E"/>
    <w:rsid w:val="24E8008F"/>
    <w:rsid w:val="250E218F"/>
    <w:rsid w:val="2583663F"/>
    <w:rsid w:val="25BF03CB"/>
    <w:rsid w:val="25FB4740"/>
    <w:rsid w:val="260D2CAA"/>
    <w:rsid w:val="26433BE0"/>
    <w:rsid w:val="27393C35"/>
    <w:rsid w:val="276F17A7"/>
    <w:rsid w:val="27870A50"/>
    <w:rsid w:val="27935ADB"/>
    <w:rsid w:val="27A12C2E"/>
    <w:rsid w:val="27A83487"/>
    <w:rsid w:val="27C546B8"/>
    <w:rsid w:val="27CC7DEB"/>
    <w:rsid w:val="27F1089B"/>
    <w:rsid w:val="28126000"/>
    <w:rsid w:val="286F41BF"/>
    <w:rsid w:val="2880051D"/>
    <w:rsid w:val="28AD1692"/>
    <w:rsid w:val="28D6351E"/>
    <w:rsid w:val="28EA1DF6"/>
    <w:rsid w:val="28F9188A"/>
    <w:rsid w:val="29392C39"/>
    <w:rsid w:val="294218C7"/>
    <w:rsid w:val="29572968"/>
    <w:rsid w:val="29881E5C"/>
    <w:rsid w:val="29AB17DD"/>
    <w:rsid w:val="29CC00F9"/>
    <w:rsid w:val="2A1E5478"/>
    <w:rsid w:val="2A395849"/>
    <w:rsid w:val="2A54072E"/>
    <w:rsid w:val="2AD5490D"/>
    <w:rsid w:val="2B1C5FD5"/>
    <w:rsid w:val="2B6C0920"/>
    <w:rsid w:val="2B6F38EA"/>
    <w:rsid w:val="2BE27439"/>
    <w:rsid w:val="2C1154DB"/>
    <w:rsid w:val="2C3A4BFC"/>
    <w:rsid w:val="2C7A74DA"/>
    <w:rsid w:val="2CB278EE"/>
    <w:rsid w:val="2CCB0198"/>
    <w:rsid w:val="2D475C3F"/>
    <w:rsid w:val="2D581273"/>
    <w:rsid w:val="2D8070BF"/>
    <w:rsid w:val="2DAC0D65"/>
    <w:rsid w:val="2E426511"/>
    <w:rsid w:val="2EDE2121"/>
    <w:rsid w:val="2F1205EA"/>
    <w:rsid w:val="2F284168"/>
    <w:rsid w:val="2FF010D3"/>
    <w:rsid w:val="2FFE7983"/>
    <w:rsid w:val="300A0BE7"/>
    <w:rsid w:val="300D7C15"/>
    <w:rsid w:val="30127F37"/>
    <w:rsid w:val="30A80CEC"/>
    <w:rsid w:val="30BE5DE0"/>
    <w:rsid w:val="30C83080"/>
    <w:rsid w:val="30C8433A"/>
    <w:rsid w:val="30CD6DE7"/>
    <w:rsid w:val="30EB2F6A"/>
    <w:rsid w:val="3100010A"/>
    <w:rsid w:val="312232C6"/>
    <w:rsid w:val="31262D72"/>
    <w:rsid w:val="314F7EF0"/>
    <w:rsid w:val="3154366E"/>
    <w:rsid w:val="315D0E7E"/>
    <w:rsid w:val="3186764C"/>
    <w:rsid w:val="3205512F"/>
    <w:rsid w:val="328424FD"/>
    <w:rsid w:val="328D72C1"/>
    <w:rsid w:val="32D3031A"/>
    <w:rsid w:val="32D42843"/>
    <w:rsid w:val="32E90B34"/>
    <w:rsid w:val="33076261"/>
    <w:rsid w:val="33601F1E"/>
    <w:rsid w:val="33770F5C"/>
    <w:rsid w:val="33963864"/>
    <w:rsid w:val="33DF6DB9"/>
    <w:rsid w:val="33F53BDA"/>
    <w:rsid w:val="341E6E52"/>
    <w:rsid w:val="3424704E"/>
    <w:rsid w:val="349F49A0"/>
    <w:rsid w:val="34FB1597"/>
    <w:rsid w:val="35243365"/>
    <w:rsid w:val="353822B6"/>
    <w:rsid w:val="35B5140A"/>
    <w:rsid w:val="35CD3198"/>
    <w:rsid w:val="35D1513F"/>
    <w:rsid w:val="35FA6F7E"/>
    <w:rsid w:val="360B5991"/>
    <w:rsid w:val="363F6360"/>
    <w:rsid w:val="3665433B"/>
    <w:rsid w:val="37270D61"/>
    <w:rsid w:val="3754457D"/>
    <w:rsid w:val="37856D81"/>
    <w:rsid w:val="37D9758E"/>
    <w:rsid w:val="3817748C"/>
    <w:rsid w:val="38430A5B"/>
    <w:rsid w:val="38817881"/>
    <w:rsid w:val="38AE0466"/>
    <w:rsid w:val="38D37BEF"/>
    <w:rsid w:val="390250DA"/>
    <w:rsid w:val="391141AB"/>
    <w:rsid w:val="3A1D78A1"/>
    <w:rsid w:val="3A3454F9"/>
    <w:rsid w:val="3AA93C0D"/>
    <w:rsid w:val="3B392F9B"/>
    <w:rsid w:val="3B491D65"/>
    <w:rsid w:val="3BFE0B61"/>
    <w:rsid w:val="3C2B5490"/>
    <w:rsid w:val="3C4434A2"/>
    <w:rsid w:val="3C7A7AFD"/>
    <w:rsid w:val="3CE117E7"/>
    <w:rsid w:val="3D4863BB"/>
    <w:rsid w:val="3D4E2EA8"/>
    <w:rsid w:val="3DAA3FCC"/>
    <w:rsid w:val="3DB334B5"/>
    <w:rsid w:val="3DC07187"/>
    <w:rsid w:val="3DC96D0B"/>
    <w:rsid w:val="3DE116A7"/>
    <w:rsid w:val="3DF85079"/>
    <w:rsid w:val="3E1C17D3"/>
    <w:rsid w:val="3E580CEA"/>
    <w:rsid w:val="3E5B4E6F"/>
    <w:rsid w:val="3E5F547B"/>
    <w:rsid w:val="3E8E09B9"/>
    <w:rsid w:val="3ED86976"/>
    <w:rsid w:val="3EF8779C"/>
    <w:rsid w:val="3F1F7281"/>
    <w:rsid w:val="3F42195A"/>
    <w:rsid w:val="3F535DEE"/>
    <w:rsid w:val="3F8552C8"/>
    <w:rsid w:val="3FA25C8D"/>
    <w:rsid w:val="3FB43588"/>
    <w:rsid w:val="401D10DD"/>
    <w:rsid w:val="40876E22"/>
    <w:rsid w:val="408E17DE"/>
    <w:rsid w:val="40933516"/>
    <w:rsid w:val="40CF69FD"/>
    <w:rsid w:val="411B3859"/>
    <w:rsid w:val="41273AC4"/>
    <w:rsid w:val="414D4211"/>
    <w:rsid w:val="41890935"/>
    <w:rsid w:val="41B06072"/>
    <w:rsid w:val="41F80043"/>
    <w:rsid w:val="42385E89"/>
    <w:rsid w:val="4241367A"/>
    <w:rsid w:val="42806476"/>
    <w:rsid w:val="42AD5138"/>
    <w:rsid w:val="42DC2788"/>
    <w:rsid w:val="430364AF"/>
    <w:rsid w:val="430D2A04"/>
    <w:rsid w:val="43D42DB1"/>
    <w:rsid w:val="441B6DF4"/>
    <w:rsid w:val="44350E69"/>
    <w:rsid w:val="445232EC"/>
    <w:rsid w:val="44D73C0B"/>
    <w:rsid w:val="45153F9D"/>
    <w:rsid w:val="45506A0D"/>
    <w:rsid w:val="45843714"/>
    <w:rsid w:val="45DD3CC5"/>
    <w:rsid w:val="46016735"/>
    <w:rsid w:val="46607271"/>
    <w:rsid w:val="4682747D"/>
    <w:rsid w:val="46841DB3"/>
    <w:rsid w:val="469D2954"/>
    <w:rsid w:val="46C566C3"/>
    <w:rsid w:val="47044ACC"/>
    <w:rsid w:val="471B4BFB"/>
    <w:rsid w:val="47477068"/>
    <w:rsid w:val="47E953F7"/>
    <w:rsid w:val="48037ECE"/>
    <w:rsid w:val="48094A24"/>
    <w:rsid w:val="48196129"/>
    <w:rsid w:val="48366B63"/>
    <w:rsid w:val="4837481C"/>
    <w:rsid w:val="48374A73"/>
    <w:rsid w:val="48964E7C"/>
    <w:rsid w:val="495B32CF"/>
    <w:rsid w:val="498606DD"/>
    <w:rsid w:val="49AB48D8"/>
    <w:rsid w:val="49BC6F29"/>
    <w:rsid w:val="4A1E123C"/>
    <w:rsid w:val="4A256893"/>
    <w:rsid w:val="4A927F31"/>
    <w:rsid w:val="4ACE577A"/>
    <w:rsid w:val="4B1934B0"/>
    <w:rsid w:val="4B2414F4"/>
    <w:rsid w:val="4B42750B"/>
    <w:rsid w:val="4B60157F"/>
    <w:rsid w:val="4BA7204A"/>
    <w:rsid w:val="4C02628D"/>
    <w:rsid w:val="4C40443B"/>
    <w:rsid w:val="4C535222"/>
    <w:rsid w:val="4C6E25E9"/>
    <w:rsid w:val="4C7B7992"/>
    <w:rsid w:val="4CBF29C3"/>
    <w:rsid w:val="4CF2755F"/>
    <w:rsid w:val="4D1D1320"/>
    <w:rsid w:val="4D380FDB"/>
    <w:rsid w:val="4D456B87"/>
    <w:rsid w:val="4D8C33FE"/>
    <w:rsid w:val="4D8E3034"/>
    <w:rsid w:val="4DDD3982"/>
    <w:rsid w:val="4DE7626E"/>
    <w:rsid w:val="4DEB2355"/>
    <w:rsid w:val="4E01128B"/>
    <w:rsid w:val="4E1F0920"/>
    <w:rsid w:val="4E531BF6"/>
    <w:rsid w:val="4E5C3C76"/>
    <w:rsid w:val="4EA03606"/>
    <w:rsid w:val="4EC67790"/>
    <w:rsid w:val="4F022EBD"/>
    <w:rsid w:val="4F2C2D91"/>
    <w:rsid w:val="4F352721"/>
    <w:rsid w:val="4F8D57B0"/>
    <w:rsid w:val="4F98329C"/>
    <w:rsid w:val="4FD80759"/>
    <w:rsid w:val="4FE40667"/>
    <w:rsid w:val="4FE60A7D"/>
    <w:rsid w:val="4FF41F34"/>
    <w:rsid w:val="5041188D"/>
    <w:rsid w:val="504C4418"/>
    <w:rsid w:val="505435E6"/>
    <w:rsid w:val="505F0FC1"/>
    <w:rsid w:val="507F7378"/>
    <w:rsid w:val="50801ADE"/>
    <w:rsid w:val="50A252B6"/>
    <w:rsid w:val="50AF38FE"/>
    <w:rsid w:val="51403145"/>
    <w:rsid w:val="5164441F"/>
    <w:rsid w:val="519660F8"/>
    <w:rsid w:val="51CE0B83"/>
    <w:rsid w:val="51E60F4B"/>
    <w:rsid w:val="520A57B7"/>
    <w:rsid w:val="524175BB"/>
    <w:rsid w:val="524E0BBE"/>
    <w:rsid w:val="525678EA"/>
    <w:rsid w:val="526C7201"/>
    <w:rsid w:val="52993D68"/>
    <w:rsid w:val="532F5349"/>
    <w:rsid w:val="535C4D6E"/>
    <w:rsid w:val="53A10A11"/>
    <w:rsid w:val="542078EC"/>
    <w:rsid w:val="54215E8B"/>
    <w:rsid w:val="54AE5B4A"/>
    <w:rsid w:val="54C2378C"/>
    <w:rsid w:val="54F04336"/>
    <w:rsid w:val="54F40DA6"/>
    <w:rsid w:val="54FE0971"/>
    <w:rsid w:val="557E5397"/>
    <w:rsid w:val="55A24B52"/>
    <w:rsid w:val="561215C9"/>
    <w:rsid w:val="56437924"/>
    <w:rsid w:val="564F0260"/>
    <w:rsid w:val="56787C61"/>
    <w:rsid w:val="567D0D39"/>
    <w:rsid w:val="56A51820"/>
    <w:rsid w:val="57306A7C"/>
    <w:rsid w:val="57A749BE"/>
    <w:rsid w:val="581A79F2"/>
    <w:rsid w:val="58272A7D"/>
    <w:rsid w:val="58744565"/>
    <w:rsid w:val="589F2AC2"/>
    <w:rsid w:val="58F67AD3"/>
    <w:rsid w:val="59771207"/>
    <w:rsid w:val="59816EE4"/>
    <w:rsid w:val="59931151"/>
    <w:rsid w:val="59C603E9"/>
    <w:rsid w:val="59DD7464"/>
    <w:rsid w:val="59EB025D"/>
    <w:rsid w:val="59F4131E"/>
    <w:rsid w:val="5A692DD1"/>
    <w:rsid w:val="5AC30529"/>
    <w:rsid w:val="5AD93E7A"/>
    <w:rsid w:val="5AD95286"/>
    <w:rsid w:val="5AE33F74"/>
    <w:rsid w:val="5B001401"/>
    <w:rsid w:val="5B01580F"/>
    <w:rsid w:val="5B5821C4"/>
    <w:rsid w:val="5C086C6B"/>
    <w:rsid w:val="5C9A2FDF"/>
    <w:rsid w:val="5CB90A90"/>
    <w:rsid w:val="5CBD07F1"/>
    <w:rsid w:val="5CBF1710"/>
    <w:rsid w:val="5CE64CEB"/>
    <w:rsid w:val="5CF57B74"/>
    <w:rsid w:val="5D5C2096"/>
    <w:rsid w:val="5D86767D"/>
    <w:rsid w:val="5DB8130F"/>
    <w:rsid w:val="5DFF6694"/>
    <w:rsid w:val="5E051BA4"/>
    <w:rsid w:val="5E084957"/>
    <w:rsid w:val="5E1D2622"/>
    <w:rsid w:val="5E226841"/>
    <w:rsid w:val="5EBF114D"/>
    <w:rsid w:val="5EE7249E"/>
    <w:rsid w:val="5EFA5898"/>
    <w:rsid w:val="5F1D0A18"/>
    <w:rsid w:val="5F9625E5"/>
    <w:rsid w:val="5FA805BD"/>
    <w:rsid w:val="5FC43180"/>
    <w:rsid w:val="5FEE4CCE"/>
    <w:rsid w:val="60395D71"/>
    <w:rsid w:val="605B2DEA"/>
    <w:rsid w:val="60670471"/>
    <w:rsid w:val="6071095D"/>
    <w:rsid w:val="607434BD"/>
    <w:rsid w:val="60F50514"/>
    <w:rsid w:val="61E70F31"/>
    <w:rsid w:val="61FA53E7"/>
    <w:rsid w:val="620E77A4"/>
    <w:rsid w:val="62626370"/>
    <w:rsid w:val="630418B0"/>
    <w:rsid w:val="632D63A5"/>
    <w:rsid w:val="63344540"/>
    <w:rsid w:val="633A163E"/>
    <w:rsid w:val="6372183E"/>
    <w:rsid w:val="63D16A41"/>
    <w:rsid w:val="63DE78E4"/>
    <w:rsid w:val="64D910C9"/>
    <w:rsid w:val="64FA34B7"/>
    <w:rsid w:val="651C5E2F"/>
    <w:rsid w:val="659328A9"/>
    <w:rsid w:val="65DF280D"/>
    <w:rsid w:val="660F2293"/>
    <w:rsid w:val="66125971"/>
    <w:rsid w:val="66242236"/>
    <w:rsid w:val="66787E83"/>
    <w:rsid w:val="667D6F93"/>
    <w:rsid w:val="66854D04"/>
    <w:rsid w:val="668E2DC4"/>
    <w:rsid w:val="669B79AB"/>
    <w:rsid w:val="66A052A8"/>
    <w:rsid w:val="66A64E59"/>
    <w:rsid w:val="66A829A4"/>
    <w:rsid w:val="66D479A0"/>
    <w:rsid w:val="66F47C09"/>
    <w:rsid w:val="671D416E"/>
    <w:rsid w:val="67430B7A"/>
    <w:rsid w:val="677252DC"/>
    <w:rsid w:val="67CD5AED"/>
    <w:rsid w:val="67EB2BDD"/>
    <w:rsid w:val="67ED04E4"/>
    <w:rsid w:val="67F1323F"/>
    <w:rsid w:val="683B76D3"/>
    <w:rsid w:val="68A43DFD"/>
    <w:rsid w:val="68D734B1"/>
    <w:rsid w:val="68ED3DD7"/>
    <w:rsid w:val="69D54239"/>
    <w:rsid w:val="69DF4436"/>
    <w:rsid w:val="6A4837F2"/>
    <w:rsid w:val="6A54793D"/>
    <w:rsid w:val="6A706AC8"/>
    <w:rsid w:val="6A9C1833"/>
    <w:rsid w:val="6AC3379A"/>
    <w:rsid w:val="6AE41059"/>
    <w:rsid w:val="6B325834"/>
    <w:rsid w:val="6B336412"/>
    <w:rsid w:val="6B61228C"/>
    <w:rsid w:val="6BB479E0"/>
    <w:rsid w:val="6BC23F91"/>
    <w:rsid w:val="6BE20961"/>
    <w:rsid w:val="6BEF200D"/>
    <w:rsid w:val="6C0F0A22"/>
    <w:rsid w:val="6C973A66"/>
    <w:rsid w:val="6CA718AE"/>
    <w:rsid w:val="6CA82F8E"/>
    <w:rsid w:val="6CBC717D"/>
    <w:rsid w:val="6CC4022C"/>
    <w:rsid w:val="6D6044CA"/>
    <w:rsid w:val="6D710663"/>
    <w:rsid w:val="6DA1606F"/>
    <w:rsid w:val="6DDC0469"/>
    <w:rsid w:val="6E080C4B"/>
    <w:rsid w:val="6E1377DA"/>
    <w:rsid w:val="6E584424"/>
    <w:rsid w:val="6E916973"/>
    <w:rsid w:val="6EB46261"/>
    <w:rsid w:val="6EC100B8"/>
    <w:rsid w:val="6EDC04FE"/>
    <w:rsid w:val="6EEF6299"/>
    <w:rsid w:val="6EF80AE7"/>
    <w:rsid w:val="6F221BE2"/>
    <w:rsid w:val="6F497E8C"/>
    <w:rsid w:val="6F5A1E44"/>
    <w:rsid w:val="6F745860"/>
    <w:rsid w:val="6FA00E75"/>
    <w:rsid w:val="6FC220DB"/>
    <w:rsid w:val="6FD125E6"/>
    <w:rsid w:val="6FD9389D"/>
    <w:rsid w:val="70924F95"/>
    <w:rsid w:val="70B04846"/>
    <w:rsid w:val="710B095A"/>
    <w:rsid w:val="714623C7"/>
    <w:rsid w:val="714C7C1D"/>
    <w:rsid w:val="7170164F"/>
    <w:rsid w:val="718E270F"/>
    <w:rsid w:val="71AB368E"/>
    <w:rsid w:val="71C34CB3"/>
    <w:rsid w:val="71D84433"/>
    <w:rsid w:val="723334FE"/>
    <w:rsid w:val="724A54B2"/>
    <w:rsid w:val="725B5F81"/>
    <w:rsid w:val="72A7376B"/>
    <w:rsid w:val="72CA035F"/>
    <w:rsid w:val="72DF07EC"/>
    <w:rsid w:val="72EE2BBB"/>
    <w:rsid w:val="731916E6"/>
    <w:rsid w:val="734B22EE"/>
    <w:rsid w:val="73CE4BA8"/>
    <w:rsid w:val="742035E4"/>
    <w:rsid w:val="74845854"/>
    <w:rsid w:val="74896396"/>
    <w:rsid w:val="749A14C5"/>
    <w:rsid w:val="751F2EE7"/>
    <w:rsid w:val="752B424A"/>
    <w:rsid w:val="75495814"/>
    <w:rsid w:val="754D1BE5"/>
    <w:rsid w:val="75570C8A"/>
    <w:rsid w:val="760A5D8E"/>
    <w:rsid w:val="765B7C8E"/>
    <w:rsid w:val="7670645C"/>
    <w:rsid w:val="76951609"/>
    <w:rsid w:val="76F65622"/>
    <w:rsid w:val="7714578A"/>
    <w:rsid w:val="773906C3"/>
    <w:rsid w:val="774B16A6"/>
    <w:rsid w:val="77642AE6"/>
    <w:rsid w:val="77C340D2"/>
    <w:rsid w:val="77CC6334"/>
    <w:rsid w:val="78A42D2A"/>
    <w:rsid w:val="798919E2"/>
    <w:rsid w:val="79DD09BA"/>
    <w:rsid w:val="7A8C4ADA"/>
    <w:rsid w:val="7AB52CF0"/>
    <w:rsid w:val="7AD83CE1"/>
    <w:rsid w:val="7B6A09A1"/>
    <w:rsid w:val="7BB0550B"/>
    <w:rsid w:val="7BCC6519"/>
    <w:rsid w:val="7C296AB4"/>
    <w:rsid w:val="7C572CA5"/>
    <w:rsid w:val="7C887303"/>
    <w:rsid w:val="7CC77E76"/>
    <w:rsid w:val="7CDC7E76"/>
    <w:rsid w:val="7CDE35E4"/>
    <w:rsid w:val="7CEB5D0D"/>
    <w:rsid w:val="7D7E49FE"/>
    <w:rsid w:val="7D971ECC"/>
    <w:rsid w:val="7DB93F56"/>
    <w:rsid w:val="7DEC0735"/>
    <w:rsid w:val="7E7C554A"/>
    <w:rsid w:val="7E8669D9"/>
    <w:rsid w:val="7EAC3C25"/>
    <w:rsid w:val="7EBC689A"/>
    <w:rsid w:val="7EFA51AB"/>
    <w:rsid w:val="7EFB200E"/>
    <w:rsid w:val="7F032419"/>
    <w:rsid w:val="7F060D1F"/>
    <w:rsid w:val="7F38141F"/>
    <w:rsid w:val="7F625BE9"/>
    <w:rsid w:val="7F784E81"/>
    <w:rsid w:val="7F8908D6"/>
    <w:rsid w:val="7F8D621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paragraph" w:styleId="7">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ind w:firstLine="630"/>
    </w:pPr>
    <w:rPr>
      <w:sz w:val="32"/>
      <w:szCs w:val="20"/>
    </w:rPr>
  </w:style>
  <w:style w:type="paragraph" w:styleId="12">
    <w:name w:val="index 4"/>
    <w:basedOn w:val="1"/>
    <w:next w:val="1"/>
    <w:qFormat/>
    <w:uiPriority w:val="99"/>
    <w:pPr>
      <w:ind w:left="600" w:leftChars="600"/>
    </w:pPr>
    <w:rPr>
      <w:rFonts w:ascii="Verdana" w:hAnsi="Verdana"/>
      <w:szCs w:val="20"/>
    </w:rPr>
  </w:style>
  <w:style w:type="paragraph" w:styleId="13">
    <w:name w:val="Plain Text"/>
    <w:basedOn w:val="1"/>
    <w:qFormat/>
    <w:uiPriority w:val="0"/>
    <w:pPr>
      <w:autoSpaceDE w:val="0"/>
      <w:autoSpaceDN w:val="0"/>
      <w:adjustRightInd w:val="0"/>
    </w:pPr>
    <w:rPr>
      <w:rFonts w:ascii="宋体"/>
    </w:rPr>
  </w:style>
  <w:style w:type="paragraph" w:styleId="14">
    <w:name w:val="Body Text Indent 2"/>
    <w:basedOn w:val="1"/>
    <w:qFormat/>
    <w:uiPriority w:val="0"/>
    <w:pPr>
      <w:spacing w:after="120" w:line="480" w:lineRule="auto"/>
      <w:ind w:left="200" w:leftChars="200"/>
    </w:pPr>
  </w:style>
  <w:style w:type="paragraph" w:styleId="15">
    <w:name w:val="Balloon Text"/>
    <w:basedOn w:val="1"/>
    <w:link w:val="3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0"/>
  </w:style>
  <w:style w:type="paragraph" w:styleId="19">
    <w:name w:val="Normal (Web)"/>
    <w:basedOn w:val="1"/>
    <w:qFormat/>
    <w:uiPriority w:val="0"/>
    <w:pPr>
      <w:widowControl/>
      <w:spacing w:before="100" w:beforeAutospacing="1" w:after="100" w:afterAutospacing="1"/>
      <w:jc w:val="left"/>
    </w:pPr>
    <w:rPr>
      <w:rFonts w:ascii="宋体"/>
      <w:sz w:val="18"/>
      <w:szCs w:val="18"/>
    </w:rPr>
  </w:style>
  <w:style w:type="paragraph" w:styleId="20">
    <w:name w:val="Title"/>
    <w:basedOn w:val="1"/>
    <w:next w:val="1"/>
    <w:qFormat/>
    <w:uiPriority w:val="10"/>
    <w:pPr>
      <w:spacing w:before="240" w:after="60"/>
      <w:jc w:val="center"/>
      <w:outlineLvl w:val="0"/>
    </w:pPr>
    <w:rPr>
      <w:rFonts w:ascii="Cambria" w:hAnsi="Cambria" w:cs="Times New Roman"/>
      <w:b/>
      <w:bCs/>
      <w:sz w:val="32"/>
      <w:szCs w:val="32"/>
    </w:rPr>
  </w:style>
  <w:style w:type="paragraph" w:styleId="21">
    <w:name w:val="Body Text First Indent"/>
    <w:basedOn w:val="10"/>
    <w:qFormat/>
    <w:uiPriority w:val="0"/>
    <w:pPr>
      <w:ind w:firstLine="420" w:firstLineChars="100"/>
    </w:p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列出段落2"/>
    <w:basedOn w:val="1"/>
    <w:qFormat/>
    <w:uiPriority w:val="0"/>
    <w:pPr>
      <w:ind w:firstLine="200" w:firstLineChars="200"/>
    </w:pPr>
  </w:style>
  <w:style w:type="character" w:customStyle="1" w:styleId="36">
    <w:name w:val="font21"/>
    <w:basedOn w:val="23"/>
    <w:qFormat/>
    <w:uiPriority w:val="0"/>
    <w:rPr>
      <w:rFonts w:ascii="方正仿宋_GBK" w:hAnsi="方正仿宋_GBK" w:eastAsia="方正仿宋_GBK" w:cs="方正仿宋_GBK"/>
      <w:color w:val="000000"/>
      <w:sz w:val="22"/>
      <w:szCs w:val="22"/>
      <w:u w:val="none"/>
    </w:rPr>
  </w:style>
  <w:style w:type="character" w:customStyle="1" w:styleId="37">
    <w:name w:val="font11"/>
    <w:basedOn w:val="23"/>
    <w:qFormat/>
    <w:uiPriority w:val="0"/>
    <w:rPr>
      <w:rFonts w:hint="default" w:ascii="Times New Roman" w:hAnsi="Times New Roman" w:cs="Times New Roman"/>
      <w:color w:val="000000"/>
      <w:sz w:val="22"/>
      <w:szCs w:val="22"/>
      <w:u w:val="none"/>
    </w:rPr>
  </w:style>
  <w:style w:type="character" w:customStyle="1" w:styleId="38">
    <w:name w:val="批注框文本 Char"/>
    <w:basedOn w:val="23"/>
    <w:link w:val="15"/>
    <w:qFormat/>
    <w:uiPriority w:val="0"/>
    <w:rPr>
      <w:rFonts w:ascii="Calibri" w:hAnsi="Calibri" w:cs="Arial"/>
      <w:sz w:val="18"/>
      <w:szCs w:val="18"/>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 w:type="paragraph" w:styleId="40">
    <w:name w:val="List Paragraph"/>
    <w:basedOn w:val="1"/>
    <w:qFormat/>
    <w:uiPriority w:val="1"/>
    <w:pPr>
      <w:spacing w:line="360" w:lineRule="auto"/>
      <w:ind w:firstLine="42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30087</Words>
  <Characters>31550</Characters>
  <Lines>212</Lines>
  <Paragraphs>59</Paragraphs>
  <TotalTime>12</TotalTime>
  <ScaleCrop>false</ScaleCrop>
  <LinksUpToDate>false</LinksUpToDate>
  <CharactersWithSpaces>32094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初雨凉笙叹</cp:lastModifiedBy>
  <cp:lastPrinted>2024-07-07T08:37:00Z</cp:lastPrinted>
  <dcterms:modified xsi:type="dcterms:W3CDTF">2024-07-08T03:40:21Z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36231A16BEBF429B907DC07DD9000196_13</vt:lpwstr>
  </property>
</Properties>
</file>